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86C98" w14:textId="77777777" w:rsidR="00444E2B" w:rsidRPr="003A0552" w:rsidRDefault="00444E2B" w:rsidP="00444E2B">
      <w:pPr>
        <w:pStyle w:val="Titre4"/>
        <w:rPr>
          <w:color w:val="000000" w:themeColor="text1"/>
        </w:rPr>
      </w:pPr>
      <w:bookmarkStart w:id="1" w:name="_Toc95808597"/>
      <w:r w:rsidRPr="003A0552">
        <w:rPr>
          <w:color w:val="000000" w:themeColor="text1"/>
        </w:rPr>
        <w:t>SOMMAIRE</w:t>
      </w:r>
      <w:bookmarkEnd w:id="1"/>
    </w:p>
    <w:p w14:paraId="280AC395" w14:textId="77777777" w:rsidR="00C423D5" w:rsidRDefault="00444E2B">
      <w:pPr>
        <w:pStyle w:val="TM1"/>
        <w:tabs>
          <w:tab w:val="left" w:pos="440"/>
          <w:tab w:val="right" w:leader="dot" w:pos="9973"/>
        </w:tabs>
        <w:rPr>
          <w:rFonts w:asciiTheme="minorHAnsi" w:eastAsiaTheme="minorEastAsia" w:hAnsiTheme="minorHAnsi" w:cstheme="minorBidi"/>
          <w:b w:val="0"/>
          <w:i w:val="0"/>
          <w:caps w:val="0"/>
          <w:noProof/>
          <w:sz w:val="22"/>
          <w:szCs w:val="22"/>
        </w:rPr>
      </w:pPr>
      <w:r w:rsidRPr="00556843">
        <w:rPr>
          <w:i w:val="0"/>
        </w:rPr>
        <w:fldChar w:fldCharType="begin"/>
      </w:r>
      <w:r w:rsidRPr="00556843">
        <w:rPr>
          <w:i w:val="0"/>
        </w:rPr>
        <w:instrText xml:space="preserve"> TOC \h \z \t "Chap 1;1;Chap 2;2" </w:instrText>
      </w:r>
      <w:r w:rsidRPr="00556843">
        <w:rPr>
          <w:i w:val="0"/>
        </w:rPr>
        <w:fldChar w:fldCharType="separate"/>
      </w:r>
      <w:hyperlink w:anchor="_Toc4681513" w:history="1">
        <w:r w:rsidR="00C423D5" w:rsidRPr="00A96288">
          <w:rPr>
            <w:rStyle w:val="Lienhypertexte"/>
            <w:noProof/>
          </w:rPr>
          <w:t>1</w:t>
        </w:r>
        <w:r w:rsidR="00C423D5">
          <w:rPr>
            <w:rFonts w:asciiTheme="minorHAnsi" w:eastAsiaTheme="minorEastAsia" w:hAnsiTheme="minorHAnsi" w:cstheme="minorBidi"/>
            <w:b w:val="0"/>
            <w:i w:val="0"/>
            <w:caps w:val="0"/>
            <w:noProof/>
            <w:sz w:val="22"/>
            <w:szCs w:val="22"/>
          </w:rPr>
          <w:tab/>
        </w:r>
        <w:r w:rsidR="00C423D5" w:rsidRPr="00A96288">
          <w:rPr>
            <w:rStyle w:val="Lienhypertexte"/>
            <w:noProof/>
          </w:rPr>
          <w:t>CLOISONS ALVEOLAIRES</w:t>
        </w:r>
        <w:r w:rsidR="00C423D5">
          <w:rPr>
            <w:noProof/>
            <w:webHidden/>
          </w:rPr>
          <w:tab/>
        </w:r>
        <w:r w:rsidR="00C423D5">
          <w:rPr>
            <w:noProof/>
            <w:webHidden/>
          </w:rPr>
          <w:fldChar w:fldCharType="begin"/>
        </w:r>
        <w:r w:rsidR="00C423D5">
          <w:rPr>
            <w:noProof/>
            <w:webHidden/>
          </w:rPr>
          <w:instrText xml:space="preserve"> PAGEREF _Toc4681513 \h </w:instrText>
        </w:r>
        <w:r w:rsidR="00C423D5">
          <w:rPr>
            <w:noProof/>
            <w:webHidden/>
          </w:rPr>
        </w:r>
        <w:r w:rsidR="00C423D5">
          <w:rPr>
            <w:noProof/>
            <w:webHidden/>
          </w:rPr>
          <w:fldChar w:fldCharType="separate"/>
        </w:r>
        <w:r w:rsidR="00C423D5">
          <w:rPr>
            <w:noProof/>
            <w:webHidden/>
          </w:rPr>
          <w:t>1</w:t>
        </w:r>
        <w:r w:rsidR="00C423D5">
          <w:rPr>
            <w:noProof/>
            <w:webHidden/>
          </w:rPr>
          <w:fldChar w:fldCharType="end"/>
        </w:r>
      </w:hyperlink>
    </w:p>
    <w:p w14:paraId="3FFE0618" w14:textId="77777777" w:rsidR="00C423D5" w:rsidRDefault="00673BCD">
      <w:pPr>
        <w:pStyle w:val="TM2"/>
        <w:rPr>
          <w:rFonts w:asciiTheme="minorHAnsi" w:eastAsiaTheme="minorEastAsia" w:hAnsiTheme="minorHAnsi" w:cstheme="minorBidi"/>
          <w:i w:val="0"/>
          <w:smallCaps w:val="0"/>
          <w:sz w:val="22"/>
          <w:szCs w:val="22"/>
        </w:rPr>
      </w:pPr>
      <w:hyperlink w:anchor="_Toc4681514" w:history="1">
        <w:r w:rsidR="00C423D5" w:rsidRPr="00A96288">
          <w:rPr>
            <w:rStyle w:val="Lienhypertexte"/>
          </w:rPr>
          <w:t>1.1</w:t>
        </w:r>
        <w:r w:rsidR="00C423D5">
          <w:rPr>
            <w:rFonts w:asciiTheme="minorHAnsi" w:eastAsiaTheme="minorEastAsia" w:hAnsiTheme="minorHAnsi" w:cstheme="minorBidi"/>
            <w:i w:val="0"/>
            <w:smallCaps w:val="0"/>
            <w:sz w:val="22"/>
            <w:szCs w:val="22"/>
          </w:rPr>
          <w:tab/>
        </w:r>
        <w:r w:rsidR="00C423D5" w:rsidRPr="00A96288">
          <w:rPr>
            <w:rStyle w:val="Lienhypertexte"/>
          </w:rPr>
          <w:t>Cloisons alvéolaires de distribution</w:t>
        </w:r>
        <w:r w:rsidR="00C423D5">
          <w:rPr>
            <w:webHidden/>
          </w:rPr>
          <w:tab/>
        </w:r>
        <w:r w:rsidR="00C423D5">
          <w:rPr>
            <w:webHidden/>
          </w:rPr>
          <w:fldChar w:fldCharType="begin"/>
        </w:r>
        <w:r w:rsidR="00C423D5">
          <w:rPr>
            <w:webHidden/>
          </w:rPr>
          <w:instrText xml:space="preserve"> PAGEREF _Toc4681514 \h </w:instrText>
        </w:r>
        <w:r w:rsidR="00C423D5">
          <w:rPr>
            <w:webHidden/>
          </w:rPr>
        </w:r>
        <w:r w:rsidR="00C423D5">
          <w:rPr>
            <w:webHidden/>
          </w:rPr>
          <w:fldChar w:fldCharType="separate"/>
        </w:r>
        <w:r w:rsidR="00C423D5">
          <w:rPr>
            <w:webHidden/>
          </w:rPr>
          <w:t>1</w:t>
        </w:r>
        <w:r w:rsidR="00C423D5">
          <w:rPr>
            <w:webHidden/>
          </w:rPr>
          <w:fldChar w:fldCharType="end"/>
        </w:r>
      </w:hyperlink>
    </w:p>
    <w:p w14:paraId="0F3C8DD4" w14:textId="77777777" w:rsidR="00C423D5" w:rsidRPr="00C423D5" w:rsidRDefault="00444E2B" w:rsidP="00444E2B">
      <w:pPr>
        <w:rPr>
          <w:i/>
        </w:rPr>
      </w:pPr>
      <w:r w:rsidRPr="00556843">
        <w:rPr>
          <w:i/>
        </w:rPr>
        <w:fldChar w:fldCharType="end"/>
      </w:r>
    </w:p>
    <w:p w14:paraId="2119BFF4" w14:textId="77777777" w:rsidR="00753D7E" w:rsidRPr="006E1F21" w:rsidRDefault="00753D7E" w:rsidP="00753D7E">
      <w:pPr>
        <w:pStyle w:val="Chap1"/>
      </w:pPr>
      <w:bookmarkStart w:id="2" w:name="_Toc4681513"/>
      <w:r w:rsidRPr="006E1F21">
        <w:t>1</w:t>
      </w:r>
      <w:r w:rsidRPr="006E1F21">
        <w:tab/>
        <w:t>CLOISONS ALVEOLAIRES</w:t>
      </w:r>
      <w:bookmarkEnd w:id="2"/>
      <w:r w:rsidRPr="006E1F21">
        <w:t xml:space="preserve">     </w:t>
      </w:r>
    </w:p>
    <w:p w14:paraId="73E5C77C" w14:textId="77777777" w:rsidR="00753D7E" w:rsidRPr="006E1F21" w:rsidRDefault="00FC10ED" w:rsidP="00753D7E">
      <w:pPr>
        <w:pStyle w:val="Chap2"/>
      </w:pPr>
      <w:bookmarkStart w:id="3" w:name="_Toc4681514"/>
      <w:r w:rsidRPr="006E1F21">
        <w:t>1.1</w:t>
      </w:r>
      <w:r w:rsidRPr="006E1F21">
        <w:tab/>
      </w:r>
      <w:r w:rsidR="00753D7E" w:rsidRPr="006E1F21">
        <w:t>Cloisons alvéolaires de distribution</w:t>
      </w:r>
      <w:bookmarkEnd w:id="3"/>
      <w:r w:rsidR="00753D7E" w:rsidRPr="006E1F21">
        <w:t xml:space="preserve">            </w:t>
      </w:r>
    </w:p>
    <w:p w14:paraId="5122C3B3" w14:textId="77777777" w:rsidR="00753D7E" w:rsidRPr="006E1F21" w:rsidRDefault="00753D7E" w:rsidP="00753D7E">
      <w:pPr>
        <w:pStyle w:val="Chap3"/>
      </w:pPr>
      <w:r w:rsidRPr="006E1F21">
        <w:t>1.1.1</w:t>
      </w:r>
      <w:r w:rsidRPr="006E1F21">
        <w:tab/>
        <w:t>CLOISON ALVEOLAIRE DE DISTRIBUTION DE 50 mm :</w:t>
      </w:r>
    </w:p>
    <w:p w14:paraId="3DBA9A58" w14:textId="77777777" w:rsidR="00753D7E" w:rsidRDefault="00753D7E" w:rsidP="00C62DB7">
      <w:pPr>
        <w:pStyle w:val="Structure"/>
      </w:pPr>
      <w:r w:rsidRPr="006E1F21">
        <w:t>Cloison alvéolaire de 50 mm d'épaisseur constituée de panneaux avec parements en plaques de plâtre solidarisées par encollage sur réseau alvéolaire en carton à mailles hexagonales. Mise en œuvre par emboîtement des panneaux entre un rail haut et une semelle basse (</w:t>
      </w:r>
      <w:r w:rsidR="00784532" w:rsidRPr="006E1F21">
        <w:t>fixation espacée</w:t>
      </w:r>
      <w:r w:rsidRPr="006E1F21">
        <w:t xml:space="preserve"> de 50 cm) en bois ou en panneaux de particules de bois. Accessoires de liaison en bois débité (clavettes, fourrures, cales, </w:t>
      </w:r>
      <w:r w:rsidR="00784532" w:rsidRPr="006E1F21">
        <w:t>etc.</w:t>
      </w:r>
      <w:r w:rsidRPr="006E1F21">
        <w:t>). Vissage par vis TTPC (Tête Trompette Pointe Clou) à chaque 1/3 en hauteur et tous les 25 cm en largeur. Traitement des joints entre panneaux, angles, cueillies par bande et enduit du fabricant. 2,60 m de hauteur d'emploi maximum.</w:t>
      </w:r>
    </w:p>
    <w:p w14:paraId="3AC00686" w14:textId="77777777" w:rsidR="00753D7E" w:rsidRPr="006E1F21" w:rsidRDefault="00753D7E" w:rsidP="00082672">
      <w:pPr>
        <w:pStyle w:val="TitreArticle"/>
      </w:pPr>
      <w:r w:rsidRPr="006E1F21">
        <w:t>1.1.1-1</w:t>
      </w:r>
      <w:r w:rsidRPr="006E1F21">
        <w:tab/>
        <w:t>Cloison alvéolaire de distribution de 50 mm, parements standards, panneaux de 1,20 m de largeur.</w:t>
      </w:r>
    </w:p>
    <w:p w14:paraId="73C71360" w14:textId="77777777" w:rsidR="00753D7E" w:rsidRPr="006E1F21" w:rsidRDefault="00753D7E" w:rsidP="00082672">
      <w:pPr>
        <w:pStyle w:val="DescrArticle"/>
      </w:pPr>
    </w:p>
    <w:p w14:paraId="373F3BC4" w14:textId="77777777" w:rsidR="00753D7E" w:rsidRPr="006E1F21" w:rsidRDefault="00753D7E" w:rsidP="00082672">
      <w:pPr>
        <w:pStyle w:val="DescrArticle"/>
      </w:pPr>
      <w:r w:rsidRPr="006E1F21">
        <w:t>- Marque : KNAUF ou équivalent</w:t>
      </w:r>
    </w:p>
    <w:p w14:paraId="0FE4ABA4" w14:textId="77777777" w:rsidR="00753D7E" w:rsidRPr="006E1F21" w:rsidRDefault="00753D7E" w:rsidP="00082672">
      <w:pPr>
        <w:pStyle w:val="DescrArticle"/>
      </w:pPr>
      <w:r w:rsidRPr="006E1F21">
        <w:t>- Système : POLYCLOISON 50</w:t>
      </w:r>
    </w:p>
    <w:p w14:paraId="52997976" w14:textId="77777777" w:rsidR="00753D7E" w:rsidRPr="006E1F21" w:rsidRDefault="00753D7E" w:rsidP="00082672">
      <w:pPr>
        <w:pStyle w:val="DescrArticle"/>
      </w:pPr>
      <w:r w:rsidRPr="006E1F21">
        <w:t>- Type de parement : KNAUF KS 9,5</w:t>
      </w:r>
    </w:p>
    <w:p w14:paraId="64D57743" w14:textId="77777777" w:rsidR="00753D7E" w:rsidRPr="006E1F21" w:rsidRDefault="00753D7E" w:rsidP="00082672">
      <w:pPr>
        <w:pStyle w:val="DescrArticle"/>
      </w:pPr>
      <w:r w:rsidRPr="006E1F21">
        <w:t>- Hauteur : 2,40 à 2,60 m</w:t>
      </w:r>
    </w:p>
    <w:p w14:paraId="6C4D258C" w14:textId="77777777" w:rsidR="00753D7E" w:rsidRPr="006E1F21" w:rsidRDefault="00753D7E" w:rsidP="00082672">
      <w:pPr>
        <w:pStyle w:val="DescrArticle"/>
      </w:pPr>
      <w:r w:rsidRPr="006E1F21">
        <w:t xml:space="preserve">- Affaiblissement acoustique </w:t>
      </w:r>
      <w:proofErr w:type="spellStart"/>
      <w:r w:rsidRPr="006E1F21">
        <w:t>Rw+C</w:t>
      </w:r>
      <w:proofErr w:type="spellEnd"/>
      <w:r w:rsidRPr="006E1F21">
        <w:t xml:space="preserve"> : 29 dB</w:t>
      </w:r>
    </w:p>
    <w:p w14:paraId="66A64E63" w14:textId="77777777" w:rsidR="00753D7E" w:rsidRPr="006E1F21" w:rsidRDefault="00753D7E" w:rsidP="00082672">
      <w:pPr>
        <w:pStyle w:val="DescrArticle"/>
      </w:pPr>
      <w:r w:rsidRPr="006E1F21">
        <w:t>- Poids : 17,20 kg au m²</w:t>
      </w:r>
    </w:p>
    <w:p w14:paraId="151A26C6" w14:textId="77777777" w:rsidR="00753D7E" w:rsidRPr="006E1F21" w:rsidRDefault="00753D7E" w:rsidP="00082672">
      <w:pPr>
        <w:pStyle w:val="TitreArticle"/>
      </w:pPr>
      <w:r w:rsidRPr="006E1F21">
        <w:t>1.1.1-2</w:t>
      </w:r>
      <w:r w:rsidRPr="006E1F21">
        <w:tab/>
        <w:t>Cloison alvéolaire de distribution de 50 mm, parements hydrofuges, panneaux de 1,20 m de largeur :</w:t>
      </w:r>
    </w:p>
    <w:p w14:paraId="274E489B" w14:textId="77777777" w:rsidR="00753D7E" w:rsidRPr="006E1F21" w:rsidRDefault="00753D7E" w:rsidP="00082672">
      <w:pPr>
        <w:pStyle w:val="DescrArticle"/>
      </w:pPr>
    </w:p>
    <w:p w14:paraId="01443183" w14:textId="77777777" w:rsidR="00753D7E" w:rsidRPr="006E1F21" w:rsidRDefault="00753D7E" w:rsidP="00082672">
      <w:pPr>
        <w:pStyle w:val="DescrArticle"/>
      </w:pPr>
      <w:r w:rsidRPr="006E1F21">
        <w:t>- Marque : KNAUF ou équivalent</w:t>
      </w:r>
    </w:p>
    <w:p w14:paraId="302C21D8" w14:textId="77777777" w:rsidR="00753D7E" w:rsidRPr="006E1F21" w:rsidRDefault="00753D7E" w:rsidP="00082672">
      <w:pPr>
        <w:pStyle w:val="DescrArticle"/>
      </w:pPr>
      <w:r w:rsidRPr="006E1F21">
        <w:t>- Système : POLYCLOISON 50</w:t>
      </w:r>
    </w:p>
    <w:p w14:paraId="281B183D" w14:textId="77777777" w:rsidR="00753D7E" w:rsidRPr="006E1F21" w:rsidRDefault="00753D7E" w:rsidP="00082672">
      <w:pPr>
        <w:pStyle w:val="DescrArticle"/>
      </w:pPr>
      <w:r w:rsidRPr="006E1F21">
        <w:t>- Type de parement : KNAUF KH 9,5</w:t>
      </w:r>
    </w:p>
    <w:p w14:paraId="327DA70D" w14:textId="77777777" w:rsidR="00753D7E" w:rsidRPr="006E1F21" w:rsidRDefault="00753D7E" w:rsidP="00082672">
      <w:pPr>
        <w:pStyle w:val="DescrArticle"/>
      </w:pPr>
      <w:r w:rsidRPr="006E1F21">
        <w:t>- Hauteur : 2,40 à 2,60 m</w:t>
      </w:r>
    </w:p>
    <w:p w14:paraId="197E797A" w14:textId="77777777" w:rsidR="00753D7E" w:rsidRPr="006E1F21" w:rsidRDefault="00753D7E" w:rsidP="00082672">
      <w:pPr>
        <w:pStyle w:val="DescrArticle"/>
      </w:pPr>
      <w:r w:rsidRPr="006E1F21">
        <w:t xml:space="preserve">- Affaiblissement acoustique </w:t>
      </w:r>
      <w:proofErr w:type="spellStart"/>
      <w:r w:rsidRPr="006E1F21">
        <w:t>Rw+C</w:t>
      </w:r>
      <w:proofErr w:type="spellEnd"/>
      <w:r w:rsidRPr="006E1F21">
        <w:t xml:space="preserve"> : 29 dB</w:t>
      </w:r>
    </w:p>
    <w:p w14:paraId="2406EDB0" w14:textId="77777777" w:rsidR="00753D7E" w:rsidRPr="006E1F21" w:rsidRDefault="00753D7E" w:rsidP="00082672">
      <w:pPr>
        <w:pStyle w:val="DescrArticle"/>
      </w:pPr>
      <w:r w:rsidRPr="006E1F21">
        <w:t>- Poids : 18,70 kg au m²</w:t>
      </w:r>
    </w:p>
    <w:p w14:paraId="38D94926" w14:textId="77777777" w:rsidR="00753D7E" w:rsidRPr="006E1F21" w:rsidRDefault="00753D7E" w:rsidP="00082672">
      <w:pPr>
        <w:pStyle w:val="TitreArticle"/>
      </w:pPr>
      <w:r w:rsidRPr="006E1F21">
        <w:t>1.1.1-3</w:t>
      </w:r>
      <w:r w:rsidRPr="006E1F21">
        <w:tab/>
        <w:t>Cloison alvéolaire de distribution de 50 mm, parements standards pré-imprimé, panneaux de 1,20 m de largeur :</w:t>
      </w:r>
    </w:p>
    <w:p w14:paraId="02D80E96" w14:textId="77777777" w:rsidR="00753D7E" w:rsidRPr="006E1F21" w:rsidRDefault="00753D7E" w:rsidP="00082672">
      <w:pPr>
        <w:pStyle w:val="DescrArticle"/>
      </w:pPr>
    </w:p>
    <w:p w14:paraId="35B44F22" w14:textId="77777777" w:rsidR="00753D7E" w:rsidRPr="006E1F21" w:rsidRDefault="00753D7E" w:rsidP="00082672">
      <w:pPr>
        <w:pStyle w:val="DescrArticle"/>
      </w:pPr>
      <w:r w:rsidRPr="006E1F21">
        <w:t>- Marque : KNAUF ou équivalent</w:t>
      </w:r>
    </w:p>
    <w:p w14:paraId="614C9F7F" w14:textId="77777777" w:rsidR="00753D7E" w:rsidRPr="006E1F21" w:rsidRDefault="00753D7E" w:rsidP="00082672">
      <w:pPr>
        <w:pStyle w:val="DescrArticle"/>
      </w:pPr>
      <w:r w:rsidRPr="006E1F21">
        <w:t>- Système : POLYCLOISON 50</w:t>
      </w:r>
    </w:p>
    <w:p w14:paraId="538FBB4E" w14:textId="77777777" w:rsidR="00753D7E" w:rsidRPr="006E1F21" w:rsidRDefault="00753D7E" w:rsidP="00082672">
      <w:pPr>
        <w:pStyle w:val="DescrArticle"/>
      </w:pPr>
      <w:r w:rsidRPr="006E1F21">
        <w:t>- Type de parement : KNAUF SNOWBOARD 9,5</w:t>
      </w:r>
    </w:p>
    <w:p w14:paraId="4C1175F4" w14:textId="77777777" w:rsidR="00753D7E" w:rsidRPr="006E1F21" w:rsidRDefault="00753D7E" w:rsidP="00082672">
      <w:pPr>
        <w:pStyle w:val="DescrArticle"/>
      </w:pPr>
      <w:r w:rsidRPr="006E1F21">
        <w:t>- Hauteur : 2,40 à 2,60 m</w:t>
      </w:r>
    </w:p>
    <w:p w14:paraId="54E6EA94" w14:textId="77777777" w:rsidR="00753D7E" w:rsidRPr="006E1F21" w:rsidRDefault="00753D7E" w:rsidP="00082672">
      <w:pPr>
        <w:pStyle w:val="DescrArticle"/>
      </w:pPr>
      <w:r w:rsidRPr="006E1F21">
        <w:t xml:space="preserve">- Affaiblissement acoustique </w:t>
      </w:r>
      <w:proofErr w:type="spellStart"/>
      <w:r w:rsidRPr="006E1F21">
        <w:t>Rw+C</w:t>
      </w:r>
      <w:proofErr w:type="spellEnd"/>
      <w:r w:rsidRPr="006E1F21">
        <w:t xml:space="preserve"> : 29 dB</w:t>
      </w:r>
    </w:p>
    <w:p w14:paraId="39C220E8" w14:textId="77777777" w:rsidR="00753D7E" w:rsidRDefault="00753D7E" w:rsidP="00082672">
      <w:pPr>
        <w:pStyle w:val="DescrArticle"/>
      </w:pPr>
      <w:r w:rsidRPr="006E1F21">
        <w:t>- Poids : 17,10 kg au m²</w:t>
      </w:r>
    </w:p>
    <w:p w14:paraId="677548C2" w14:textId="77777777" w:rsidR="00C423D5" w:rsidRDefault="00C423D5" w:rsidP="00082672">
      <w:pPr>
        <w:pStyle w:val="DescrArticle"/>
      </w:pPr>
    </w:p>
    <w:p w14:paraId="19752A92" w14:textId="77777777" w:rsidR="00C423D5" w:rsidRDefault="00C423D5" w:rsidP="00082672">
      <w:pPr>
        <w:pStyle w:val="DescrArticle"/>
      </w:pPr>
    </w:p>
    <w:p w14:paraId="3EEEF2B0" w14:textId="77777777" w:rsidR="00C423D5" w:rsidRDefault="00C423D5" w:rsidP="00082672">
      <w:pPr>
        <w:pStyle w:val="DescrArticle"/>
      </w:pPr>
    </w:p>
    <w:p w14:paraId="6FE126FF" w14:textId="77777777" w:rsidR="00C423D5" w:rsidRDefault="00C423D5" w:rsidP="00082672">
      <w:pPr>
        <w:pStyle w:val="DescrArticle"/>
      </w:pPr>
    </w:p>
    <w:p w14:paraId="2BA1F568" w14:textId="77777777" w:rsidR="00C423D5" w:rsidRPr="006E1F21" w:rsidRDefault="00C423D5" w:rsidP="00082672">
      <w:pPr>
        <w:pStyle w:val="DescrArticle"/>
      </w:pPr>
    </w:p>
    <w:p w14:paraId="7F50587D" w14:textId="77777777" w:rsidR="00753D7E" w:rsidRPr="006E1F21" w:rsidRDefault="00753D7E" w:rsidP="00082672">
      <w:pPr>
        <w:pStyle w:val="TitreArticle"/>
      </w:pPr>
      <w:r w:rsidRPr="006E1F21">
        <w:lastRenderedPageBreak/>
        <w:t>1.1.1-4</w:t>
      </w:r>
      <w:r w:rsidRPr="006E1F21">
        <w:tab/>
        <w:t xml:space="preserve">Cloison alvéolaire de distribution de 50 mm, parements </w:t>
      </w:r>
      <w:r w:rsidR="00784532" w:rsidRPr="006E1F21">
        <w:t>hydrofugé</w:t>
      </w:r>
      <w:r w:rsidRPr="006E1F21">
        <w:t xml:space="preserve"> pré-imprimé, panneaux de 1,20 m de largeur :</w:t>
      </w:r>
    </w:p>
    <w:p w14:paraId="485FBF14" w14:textId="77777777" w:rsidR="00753D7E" w:rsidRPr="006E1F21" w:rsidRDefault="00753D7E" w:rsidP="00082672">
      <w:pPr>
        <w:pStyle w:val="DescrArticle"/>
      </w:pPr>
    </w:p>
    <w:p w14:paraId="1C322BEC" w14:textId="77777777" w:rsidR="00753D7E" w:rsidRPr="006E1F21" w:rsidRDefault="00753D7E" w:rsidP="00082672">
      <w:pPr>
        <w:pStyle w:val="DescrArticle"/>
      </w:pPr>
      <w:r w:rsidRPr="006E1F21">
        <w:t>- Marque : KNAUF ou équivalent</w:t>
      </w:r>
    </w:p>
    <w:p w14:paraId="4BCBC56A" w14:textId="77777777" w:rsidR="00753D7E" w:rsidRPr="006E1F21" w:rsidRDefault="00753D7E" w:rsidP="00082672">
      <w:pPr>
        <w:pStyle w:val="DescrArticle"/>
      </w:pPr>
      <w:r w:rsidRPr="006E1F21">
        <w:t>- Système : POLYCLOISON 50</w:t>
      </w:r>
    </w:p>
    <w:p w14:paraId="636154B0" w14:textId="77777777" w:rsidR="00753D7E" w:rsidRPr="006E1F21" w:rsidRDefault="00753D7E" w:rsidP="00082672">
      <w:pPr>
        <w:pStyle w:val="DescrArticle"/>
      </w:pPr>
      <w:r w:rsidRPr="006E1F21">
        <w:t>- Type de parement : KNAUF SNOWBOARD HYDROFUGE 9,5</w:t>
      </w:r>
    </w:p>
    <w:p w14:paraId="27FAD455" w14:textId="77777777" w:rsidR="00753D7E" w:rsidRPr="006E1F21" w:rsidRDefault="00753D7E" w:rsidP="00082672">
      <w:pPr>
        <w:pStyle w:val="DescrArticle"/>
      </w:pPr>
      <w:r w:rsidRPr="006E1F21">
        <w:t>- Hauteur : 2,40 à 2,60 m</w:t>
      </w:r>
    </w:p>
    <w:p w14:paraId="5CB08609" w14:textId="77777777" w:rsidR="00753D7E" w:rsidRPr="006E1F21" w:rsidRDefault="00753D7E" w:rsidP="00082672">
      <w:pPr>
        <w:pStyle w:val="DescrArticle"/>
      </w:pPr>
      <w:r w:rsidRPr="006E1F21">
        <w:t xml:space="preserve">- Affaiblissement acoustique </w:t>
      </w:r>
      <w:proofErr w:type="spellStart"/>
      <w:r w:rsidRPr="006E1F21">
        <w:t>Rw+C</w:t>
      </w:r>
      <w:proofErr w:type="spellEnd"/>
      <w:r w:rsidRPr="006E1F21">
        <w:t xml:space="preserve"> : 29 dB</w:t>
      </w:r>
    </w:p>
    <w:p w14:paraId="7B12FA35" w14:textId="77777777" w:rsidR="00C423D5" w:rsidRPr="006E1F21" w:rsidRDefault="00753D7E" w:rsidP="00C423D5">
      <w:pPr>
        <w:pStyle w:val="DescrArticle"/>
      </w:pPr>
      <w:r w:rsidRPr="006E1F21">
        <w:t>- Poids : 18,610 kg au m²</w:t>
      </w:r>
    </w:p>
    <w:p w14:paraId="2215B586" w14:textId="77777777" w:rsidR="00753D7E" w:rsidRPr="006E1F21" w:rsidRDefault="00753D7E" w:rsidP="00753D7E">
      <w:pPr>
        <w:pStyle w:val="Chap3"/>
      </w:pPr>
      <w:r w:rsidRPr="006E1F21">
        <w:t>1.1.2</w:t>
      </w:r>
      <w:r w:rsidRPr="006E1F21">
        <w:tab/>
        <w:t>CLOISON ALVEOLAIRE DE DISTRIBUTION DE 60 mm :</w:t>
      </w:r>
    </w:p>
    <w:p w14:paraId="35E1894E" w14:textId="77777777" w:rsidR="00753D7E" w:rsidRPr="006E1F21" w:rsidRDefault="00753D7E" w:rsidP="00C62DB7">
      <w:pPr>
        <w:pStyle w:val="Structure"/>
      </w:pPr>
      <w:r w:rsidRPr="006E1F21">
        <w:t>Cloison alvéolaire de 60 mm d'épaisseur constituée de panneaux avec parements en plaques de plâtre solidarisées par encollage sur réseau alvéolaire en carton à mailles hexagonales. Mise en œuvre par emboîtement des panneaux entre un rail haut et une semelle basse (</w:t>
      </w:r>
      <w:r w:rsidR="00784532" w:rsidRPr="006E1F21">
        <w:t>fixation espacée</w:t>
      </w:r>
      <w:r w:rsidRPr="006E1F21">
        <w:t xml:space="preserve"> de 50 cm) en bois ou en panneaux de particules de bois. Accessoires de liaison en bois débité (clavettes, fourrures, cales, </w:t>
      </w:r>
      <w:r w:rsidR="00C8242C" w:rsidRPr="006E1F21">
        <w:t>etc.</w:t>
      </w:r>
      <w:r w:rsidRPr="006E1F21">
        <w:t>). Vissage par vis TTPC (Tête Trompette Pointe Clou) à chaque 1/3 en hauteur et tous les 25 cm en largeur. Traitement des joints entre panneaux, angles, cueillies par bande et enduit du fabricant. 3,00 m de hauteur d'emploi maximum.</w:t>
      </w:r>
    </w:p>
    <w:p w14:paraId="285D54F2" w14:textId="77777777" w:rsidR="00753D7E" w:rsidRPr="006E1F21" w:rsidRDefault="00753D7E" w:rsidP="00082672">
      <w:pPr>
        <w:pStyle w:val="TitreArticle"/>
      </w:pPr>
      <w:r w:rsidRPr="006E1F21">
        <w:t>1.1.2-1</w:t>
      </w:r>
      <w:r w:rsidRPr="006E1F21">
        <w:tab/>
        <w:t>Cloison alvéolaire de distribution de 60 mm, parements standards, panneaux de 1,20 m de largeur :</w:t>
      </w:r>
    </w:p>
    <w:p w14:paraId="1F909910" w14:textId="77777777" w:rsidR="00753D7E" w:rsidRPr="006E1F21" w:rsidRDefault="00753D7E" w:rsidP="00082672">
      <w:pPr>
        <w:pStyle w:val="DescrArticle"/>
      </w:pPr>
    </w:p>
    <w:p w14:paraId="094CC9CA" w14:textId="77777777" w:rsidR="00753D7E" w:rsidRPr="006E1F21" w:rsidRDefault="00753D7E" w:rsidP="00082672">
      <w:pPr>
        <w:pStyle w:val="DescrArticle"/>
      </w:pPr>
      <w:r w:rsidRPr="006E1F21">
        <w:t>- Marque : KNAUF ou équivalent</w:t>
      </w:r>
    </w:p>
    <w:p w14:paraId="61E60F17" w14:textId="77777777" w:rsidR="00753D7E" w:rsidRPr="006E1F21" w:rsidRDefault="00753D7E" w:rsidP="00082672">
      <w:pPr>
        <w:pStyle w:val="DescrArticle"/>
      </w:pPr>
      <w:r w:rsidRPr="006E1F21">
        <w:t>- Système : POLYCLOISON 60</w:t>
      </w:r>
    </w:p>
    <w:p w14:paraId="51DDD4D9" w14:textId="77777777" w:rsidR="00753D7E" w:rsidRPr="006E1F21" w:rsidRDefault="00753D7E" w:rsidP="00082672">
      <w:pPr>
        <w:pStyle w:val="DescrArticle"/>
      </w:pPr>
      <w:r w:rsidRPr="006E1F21">
        <w:t>- Type de parement : KNAUF KS 9,5</w:t>
      </w:r>
    </w:p>
    <w:p w14:paraId="463B6D76" w14:textId="77777777" w:rsidR="00753D7E" w:rsidRPr="006E1F21" w:rsidRDefault="00753D7E" w:rsidP="00082672">
      <w:pPr>
        <w:pStyle w:val="DescrArticle"/>
      </w:pPr>
      <w:r w:rsidRPr="006E1F21">
        <w:t>- Hauteur : 2,70 à 3,00 m</w:t>
      </w:r>
    </w:p>
    <w:p w14:paraId="70E31F88" w14:textId="77777777" w:rsidR="00753D7E" w:rsidRPr="006E1F21" w:rsidRDefault="00753D7E" w:rsidP="00082672">
      <w:pPr>
        <w:pStyle w:val="DescrArticle"/>
      </w:pPr>
      <w:r w:rsidRPr="006E1F21">
        <w:t xml:space="preserve">- Affaiblissement acoustique </w:t>
      </w:r>
      <w:proofErr w:type="spellStart"/>
      <w:r w:rsidRPr="006E1F21">
        <w:t>Rw+C</w:t>
      </w:r>
      <w:proofErr w:type="spellEnd"/>
      <w:r w:rsidRPr="006E1F21">
        <w:t xml:space="preserve"> : 29 dB</w:t>
      </w:r>
    </w:p>
    <w:p w14:paraId="543D922D" w14:textId="77777777" w:rsidR="00753D7E" w:rsidRPr="006E1F21" w:rsidRDefault="00753D7E" w:rsidP="00082672">
      <w:pPr>
        <w:pStyle w:val="DescrArticle"/>
      </w:pPr>
      <w:r w:rsidRPr="006E1F21">
        <w:t>- Poids : 17,40 kg au m²</w:t>
      </w:r>
    </w:p>
    <w:p w14:paraId="591DA63B" w14:textId="77777777" w:rsidR="00753D7E" w:rsidRPr="006E1F21" w:rsidRDefault="00753D7E" w:rsidP="00082672">
      <w:pPr>
        <w:pStyle w:val="TitreArticle"/>
      </w:pPr>
      <w:r w:rsidRPr="006E1F21">
        <w:t>1.1.2-2</w:t>
      </w:r>
      <w:r w:rsidRPr="006E1F21">
        <w:tab/>
        <w:t>Cloison alvéolaire de distribution de 60 mm, parements hydrofuges, panneaux de 1,20 m de largeur :</w:t>
      </w:r>
    </w:p>
    <w:p w14:paraId="617F1620" w14:textId="77777777" w:rsidR="00753D7E" w:rsidRPr="006E1F21" w:rsidRDefault="00753D7E" w:rsidP="00082672">
      <w:pPr>
        <w:pStyle w:val="DescrArticle"/>
      </w:pPr>
    </w:p>
    <w:p w14:paraId="6380AAA8" w14:textId="77777777" w:rsidR="00753D7E" w:rsidRPr="006E1F21" w:rsidRDefault="00753D7E" w:rsidP="00082672">
      <w:pPr>
        <w:pStyle w:val="DescrArticle"/>
      </w:pPr>
      <w:r w:rsidRPr="006E1F21">
        <w:t>- Marque : KNAUF ou équivalent</w:t>
      </w:r>
    </w:p>
    <w:p w14:paraId="5A1FD17C" w14:textId="77777777" w:rsidR="00753D7E" w:rsidRPr="006E1F21" w:rsidRDefault="00753D7E" w:rsidP="00082672">
      <w:pPr>
        <w:pStyle w:val="DescrArticle"/>
      </w:pPr>
      <w:r w:rsidRPr="006E1F21">
        <w:t>- Système : POLYCLOISON 60</w:t>
      </w:r>
    </w:p>
    <w:p w14:paraId="11B475D0" w14:textId="77777777" w:rsidR="00753D7E" w:rsidRPr="006E1F21" w:rsidRDefault="00753D7E" w:rsidP="00082672">
      <w:pPr>
        <w:pStyle w:val="DescrArticle"/>
      </w:pPr>
      <w:r w:rsidRPr="006E1F21">
        <w:t>- Type de parement : KNAUF KH 9,5</w:t>
      </w:r>
    </w:p>
    <w:p w14:paraId="53187864" w14:textId="77777777" w:rsidR="00753D7E" w:rsidRPr="006E1F21" w:rsidRDefault="00753D7E" w:rsidP="00082672">
      <w:pPr>
        <w:pStyle w:val="DescrArticle"/>
      </w:pPr>
      <w:r w:rsidRPr="006E1F21">
        <w:t>- Hauteur : 2,70 à 3,00 m</w:t>
      </w:r>
    </w:p>
    <w:p w14:paraId="6CCF6745" w14:textId="77777777" w:rsidR="00753D7E" w:rsidRPr="006E1F21" w:rsidRDefault="00753D7E" w:rsidP="00082672">
      <w:pPr>
        <w:pStyle w:val="DescrArticle"/>
      </w:pPr>
      <w:r w:rsidRPr="006E1F21">
        <w:t xml:space="preserve">- Affaiblissement acoustique </w:t>
      </w:r>
      <w:proofErr w:type="spellStart"/>
      <w:r w:rsidRPr="006E1F21">
        <w:t>Rw+C</w:t>
      </w:r>
      <w:proofErr w:type="spellEnd"/>
      <w:r w:rsidRPr="006E1F21">
        <w:t xml:space="preserve"> : 29 dB</w:t>
      </w:r>
    </w:p>
    <w:p w14:paraId="6BB9C530" w14:textId="77777777" w:rsidR="00753D7E" w:rsidRPr="006E1F21" w:rsidRDefault="00753D7E" w:rsidP="00082672">
      <w:pPr>
        <w:pStyle w:val="DescrArticle"/>
      </w:pPr>
      <w:r w:rsidRPr="006E1F21">
        <w:t>- Poids : 18,90 kg au m²</w:t>
      </w:r>
    </w:p>
    <w:p w14:paraId="50CEBDD8" w14:textId="3E5BF676" w:rsidR="00A872E2" w:rsidRPr="006E1F21" w:rsidRDefault="00A872E2" w:rsidP="00082672">
      <w:pPr>
        <w:pStyle w:val="DescrArticle"/>
      </w:pPr>
      <w:r w:rsidRPr="006E1F21">
        <w:t>o (</w:t>
      </w:r>
      <w:r w:rsidR="002A59D5">
        <w:t>parement</w:t>
      </w:r>
      <w:r w:rsidRPr="006E1F21">
        <w:t xml:space="preserve"> en carton vert)</w:t>
      </w:r>
    </w:p>
    <w:p w14:paraId="2655E79B" w14:textId="77777777" w:rsidR="00A872E2" w:rsidRPr="006E1F21" w:rsidRDefault="00A872E2" w:rsidP="00082672">
      <w:pPr>
        <w:pStyle w:val="DescrArticle"/>
      </w:pPr>
      <w:r w:rsidRPr="006E1F21">
        <w:t>- Largeur ossature : 36 mm (ailes de 40)</w:t>
      </w:r>
    </w:p>
    <w:p w14:paraId="48A2DA82" w14:textId="77777777" w:rsidR="00A872E2" w:rsidRPr="006E1F21" w:rsidRDefault="00A872E2" w:rsidP="00082672">
      <w:pPr>
        <w:pStyle w:val="DescrArticle"/>
      </w:pPr>
      <w:r w:rsidRPr="006E1F21">
        <w:t xml:space="preserve">- Affaiblissement acoustique </w:t>
      </w:r>
      <w:proofErr w:type="spellStart"/>
      <w:r w:rsidRPr="006E1F21">
        <w:t>Rw+C</w:t>
      </w:r>
      <w:proofErr w:type="spellEnd"/>
      <w:r w:rsidRPr="006E1F21">
        <w:t xml:space="preserve"> : </w:t>
      </w:r>
      <w:r w:rsidR="001D382A" w:rsidRPr="006E1F21">
        <w:t>37</w:t>
      </w:r>
      <w:r w:rsidRPr="006E1F21">
        <w:t xml:space="preserve"> dB</w:t>
      </w:r>
    </w:p>
    <w:p w14:paraId="2AA585B8" w14:textId="77777777" w:rsidR="00A872E2" w:rsidRPr="006E1F21" w:rsidRDefault="00A872E2" w:rsidP="00082672">
      <w:pPr>
        <w:pStyle w:val="DescrArticle"/>
      </w:pPr>
      <w:r w:rsidRPr="006E1F21">
        <w:t>- Résistance au feu : E.I. 60</w:t>
      </w:r>
    </w:p>
    <w:p w14:paraId="2B07AB2D" w14:textId="77777777" w:rsidR="00A872E2" w:rsidRPr="006E1F21" w:rsidRDefault="00A872E2" w:rsidP="00082672">
      <w:pPr>
        <w:pStyle w:val="DescrArticle"/>
      </w:pPr>
      <w:r w:rsidRPr="006E1F21">
        <w:t>- Poids : 3</w:t>
      </w:r>
      <w:r w:rsidR="001D382A" w:rsidRPr="006E1F21">
        <w:t>8</w:t>
      </w:r>
      <w:r w:rsidRPr="006E1F21">
        <w:t>,30 kg au m²</w:t>
      </w:r>
    </w:p>
    <w:p w14:paraId="603EB430" w14:textId="77777777" w:rsidR="00483C9E" w:rsidRDefault="00483C9E" w:rsidP="00082672">
      <w:pPr>
        <w:pStyle w:val="DescrArticle"/>
      </w:pPr>
    </w:p>
    <w:sectPr w:rsidR="00483C9E" w:rsidSect="00060739">
      <w:headerReference w:type="default" r:id="rId7"/>
      <w:footerReference w:type="default" r:id="rId8"/>
      <w:pgSz w:w="11906" w:h="16838" w:code="9"/>
      <w:pgMar w:top="2127" w:right="505"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85842" w14:textId="77777777" w:rsidR="007E2FDE" w:rsidRDefault="007E2FDE">
      <w:r>
        <w:separator/>
      </w:r>
    </w:p>
  </w:endnote>
  <w:endnote w:type="continuationSeparator" w:id="0">
    <w:p w14:paraId="15706950" w14:textId="77777777" w:rsidR="007E2FDE" w:rsidRDefault="007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1D53" w14:textId="77777777" w:rsidR="00FF10D5" w:rsidRPr="00367965" w:rsidRDefault="00FF10D5" w:rsidP="00472669">
    <w:pPr>
      <w:pStyle w:val="Pieddepage"/>
      <w:pBdr>
        <w:top w:val="single" w:sz="4" w:space="14" w:color="auto"/>
      </w:pBdr>
      <w:tabs>
        <w:tab w:val="center" w:pos="0"/>
      </w:tabs>
      <w:jc w:val="both"/>
      <w:rPr>
        <w:i/>
        <w:sz w:val="12"/>
        <w:szCs w:val="12"/>
      </w:rPr>
    </w:pPr>
    <w:r w:rsidRPr="00367965">
      <w:rPr>
        <w:i/>
        <w:sz w:val="12"/>
        <w:szCs w:val="12"/>
      </w:rPr>
      <w:t>Ce document a été établi par K</w:t>
    </w:r>
    <w:r>
      <w:rPr>
        <w:i/>
        <w:sz w:val="12"/>
        <w:szCs w:val="12"/>
      </w:rPr>
      <w:t>NAUF</w:t>
    </w:r>
    <w:r w:rsidRPr="00367965">
      <w:rPr>
        <w:i/>
        <w:sz w:val="12"/>
        <w:szCs w:val="12"/>
      </w:rPr>
      <w:t xml:space="preserve"> en sa qualité de fabricant. En aucun cas KNAUF ne pourra voir sa responsabilité engagée au titre des obligations incombant aux constructeurs, maîtrise d’œuvre, bureaux d’études, etc. qui en feraient usage et qui conservent leurs propres responsabilités. T</w:t>
    </w:r>
    <w:r>
      <w:rPr>
        <w:i/>
        <w:sz w:val="12"/>
        <w:szCs w:val="12"/>
      </w:rPr>
      <w:t>oute</w:t>
    </w:r>
    <w:r w:rsidRPr="00367965">
      <w:rPr>
        <w:i/>
        <w:sz w:val="12"/>
        <w:szCs w:val="12"/>
      </w:rPr>
      <w:t xml:space="preserve"> utilisation ou toute mise en œuvre des produits et accessoires KNAUF non conforme aux Règles de l’Art, DTU, Normes, Avis techniques et/ou préconisations du fabricant dégage KNAUF de toute responsabilité. Nos systèmes évoluant de façon permanente, les renseignements techniques de ces descriptifs sont donnés à titre d’information et doivent être vérifiés par le descripteur et/ou le poseur. Notre base de données techniques disponible sur notre site </w:t>
    </w:r>
    <w:hyperlink r:id="rId1" w:history="1">
      <w:r w:rsidRPr="00367965">
        <w:rPr>
          <w:rStyle w:val="Lienhypertexte"/>
          <w:i/>
          <w:sz w:val="12"/>
          <w:szCs w:val="12"/>
        </w:rPr>
        <w:t>www.knauf.fr</w:t>
      </w:r>
    </w:hyperlink>
    <w:r w:rsidRPr="00367965">
      <w:rPr>
        <w:i/>
        <w:sz w:val="12"/>
        <w:szCs w:val="12"/>
      </w:rPr>
      <w:t xml:space="preserve"> e</w:t>
    </w:r>
    <w:r>
      <w:rPr>
        <w:i/>
        <w:sz w:val="12"/>
        <w:szCs w:val="12"/>
      </w:rPr>
      <w:t>s</w:t>
    </w:r>
    <w:r w:rsidRPr="00367965">
      <w:rPr>
        <w:i/>
        <w:sz w:val="12"/>
        <w:szCs w:val="12"/>
      </w:rPr>
      <w:t xml:space="preserve">t mise à jour régulièrement et </w:t>
    </w:r>
    <w:r>
      <w:rPr>
        <w:i/>
        <w:sz w:val="12"/>
        <w:szCs w:val="12"/>
      </w:rPr>
      <w:t>consultable</w:t>
    </w:r>
    <w:r w:rsidRPr="00367965">
      <w:rPr>
        <w:i/>
        <w:sz w:val="12"/>
        <w:szCs w:val="12"/>
      </w:rPr>
      <w:t xml:space="preserve"> en permanence.</w:t>
    </w:r>
  </w:p>
  <w:p w14:paraId="575DDC48" w14:textId="77777777" w:rsidR="00FF10D5" w:rsidRDefault="00FF10D5" w:rsidP="00472669">
    <w:pPr>
      <w:pStyle w:val="Pieddepage"/>
      <w:pBdr>
        <w:top w:val="single" w:sz="4" w:space="14" w:color="auto"/>
      </w:pBdr>
      <w:jc w:val="center"/>
      <w:rPr>
        <w:i/>
        <w:sz w:val="14"/>
      </w:rPr>
    </w:pPr>
  </w:p>
  <w:p w14:paraId="46D89BE9" w14:textId="256CCE93" w:rsidR="00FF10D5" w:rsidRDefault="0021595A" w:rsidP="00472669">
    <w:pPr>
      <w:pStyle w:val="Pieddepage"/>
      <w:pBdr>
        <w:top w:val="single" w:sz="4" w:space="5" w:color="auto"/>
      </w:pBdr>
      <w:spacing w:line="360" w:lineRule="auto"/>
      <w:rPr>
        <w:sz w:val="18"/>
      </w:rPr>
    </w:pPr>
    <w:r>
      <w:rPr>
        <w:snapToGrid w:val="0"/>
        <w:sz w:val="16"/>
      </w:rPr>
      <w:t>2</w:t>
    </w:r>
    <w:r w:rsidR="00673BCD">
      <w:rPr>
        <w:snapToGrid w:val="0"/>
        <w:sz w:val="16"/>
      </w:rPr>
      <w:t>7</w:t>
    </w:r>
    <w:r w:rsidR="002A59D5">
      <w:rPr>
        <w:snapToGrid w:val="0"/>
        <w:sz w:val="16"/>
      </w:rPr>
      <w:t xml:space="preserve"> janvier 2022</w:t>
    </w:r>
    <w:r w:rsidR="00FF10D5">
      <w:rPr>
        <w:snapToGrid w:val="0"/>
        <w:sz w:val="16"/>
      </w:rPr>
      <w:t xml:space="preserve">                                                                                                                               </w:t>
    </w:r>
    <w:r w:rsidR="00FF10D5">
      <w:rPr>
        <w:i/>
        <w:snapToGrid w:val="0"/>
        <w:sz w:val="16"/>
      </w:rPr>
      <w:t xml:space="preserve">                                                                 </w:t>
    </w:r>
    <w:r w:rsidR="00FF10D5">
      <w:rPr>
        <w:snapToGrid w:val="0"/>
        <w:sz w:val="18"/>
      </w:rPr>
      <w:t xml:space="preserve">page </w:t>
    </w:r>
    <w:r w:rsidR="00FF10D5">
      <w:rPr>
        <w:rStyle w:val="Numrodepage"/>
        <w:sz w:val="18"/>
        <w:szCs w:val="18"/>
      </w:rPr>
      <w:fldChar w:fldCharType="begin"/>
    </w:r>
    <w:r w:rsidR="00FF10D5">
      <w:rPr>
        <w:rStyle w:val="Numrodepage"/>
        <w:sz w:val="18"/>
        <w:szCs w:val="18"/>
      </w:rPr>
      <w:instrText xml:space="preserve"> PAGE </w:instrText>
    </w:r>
    <w:r w:rsidR="00FF10D5">
      <w:rPr>
        <w:rStyle w:val="Numrodepage"/>
        <w:sz w:val="18"/>
        <w:szCs w:val="18"/>
      </w:rPr>
      <w:fldChar w:fldCharType="separate"/>
    </w:r>
    <w:r>
      <w:rPr>
        <w:rStyle w:val="Numrodepage"/>
        <w:noProof/>
        <w:sz w:val="18"/>
        <w:szCs w:val="18"/>
      </w:rPr>
      <w:t>1</w:t>
    </w:r>
    <w:r w:rsidR="00FF10D5">
      <w:rPr>
        <w:rStyle w:val="Numrodepage"/>
        <w:sz w:val="18"/>
        <w:szCs w:val="18"/>
      </w:rPr>
      <w:fldChar w:fldCharType="end"/>
    </w:r>
    <w:r w:rsidR="00FF10D5">
      <w:rPr>
        <w:rStyle w:val="Numrodepage"/>
        <w:sz w:val="18"/>
        <w:szCs w:val="18"/>
      </w:rPr>
      <w:t>/</w:t>
    </w:r>
    <w:r w:rsidR="00FF10D5">
      <w:rPr>
        <w:rStyle w:val="Numrodepage"/>
        <w:sz w:val="18"/>
        <w:szCs w:val="18"/>
      </w:rPr>
      <w:fldChar w:fldCharType="begin"/>
    </w:r>
    <w:r w:rsidR="00FF10D5">
      <w:rPr>
        <w:rStyle w:val="Numrodepage"/>
        <w:sz w:val="18"/>
        <w:szCs w:val="18"/>
      </w:rPr>
      <w:instrText xml:space="preserve"> NUMPAGES </w:instrText>
    </w:r>
    <w:r w:rsidR="00FF10D5">
      <w:rPr>
        <w:rStyle w:val="Numrodepage"/>
        <w:sz w:val="18"/>
        <w:szCs w:val="18"/>
      </w:rPr>
      <w:fldChar w:fldCharType="separate"/>
    </w:r>
    <w:r>
      <w:rPr>
        <w:rStyle w:val="Numrodepage"/>
        <w:noProof/>
        <w:sz w:val="18"/>
        <w:szCs w:val="18"/>
      </w:rPr>
      <w:t>2</w:t>
    </w:r>
    <w:r w:rsidR="00FF10D5">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38348" w14:textId="77777777" w:rsidR="007E2FDE" w:rsidRDefault="007E2FDE">
      <w:bookmarkStart w:id="0" w:name="_Hlk510468122"/>
      <w:bookmarkEnd w:id="0"/>
      <w:r>
        <w:separator/>
      </w:r>
    </w:p>
  </w:footnote>
  <w:footnote w:type="continuationSeparator" w:id="0">
    <w:p w14:paraId="6F27C76D" w14:textId="77777777" w:rsidR="007E2FDE" w:rsidRDefault="007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2B77" w14:textId="07C92F75" w:rsidR="00FF10D5" w:rsidRDefault="00FF10D5" w:rsidP="00060739">
    <w:pPr>
      <w:pStyle w:val="TitreEntete"/>
    </w:pPr>
    <w:r>
      <w:rPr>
        <w:noProof/>
      </w:rPr>
      <w:drawing>
        <wp:anchor distT="0" distB="0" distL="114300" distR="114300" simplePos="0" relativeHeight="251658240" behindDoc="1" locked="0" layoutInCell="1" allowOverlap="1" wp14:anchorId="187A13D3" wp14:editId="1E573A8E">
          <wp:simplePos x="0" y="0"/>
          <wp:positionH relativeFrom="column">
            <wp:posOffset>4783455</wp:posOffset>
          </wp:positionH>
          <wp:positionV relativeFrom="paragraph">
            <wp:posOffset>-187325</wp:posOffset>
          </wp:positionV>
          <wp:extent cx="823595" cy="481965"/>
          <wp:effectExtent l="0" t="0" r="0" b="0"/>
          <wp:wrapThrough wrapText="bothSides">
            <wp:wrapPolygon edited="0">
              <wp:start x="0" y="0"/>
              <wp:lineTo x="0" y="20490"/>
              <wp:lineTo x="20984" y="20490"/>
              <wp:lineTo x="20984"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AUF.bmp"/>
                  <pic:cNvPicPr/>
                </pic:nvPicPr>
                <pic:blipFill>
                  <a:blip r:embed="rId1">
                    <a:extLst>
                      <a:ext uri="{28A0092B-C50C-407E-A947-70E740481C1C}">
                        <a14:useLocalDpi xmlns:a14="http://schemas.microsoft.com/office/drawing/2010/main" val="0"/>
                      </a:ext>
                    </a:extLst>
                  </a:blip>
                  <a:stretch>
                    <a:fillRect/>
                  </a:stretch>
                </pic:blipFill>
                <pic:spPr>
                  <a:xfrm>
                    <a:off x="0" y="0"/>
                    <a:ext cx="823595" cy="481965"/>
                  </a:xfrm>
                  <a:prstGeom prst="rect">
                    <a:avLst/>
                  </a:prstGeom>
                </pic:spPr>
              </pic:pic>
            </a:graphicData>
          </a:graphic>
          <wp14:sizeRelH relativeFrom="margin">
            <wp14:pctWidth>0</wp14:pctWidth>
          </wp14:sizeRelH>
          <wp14:sizeRelV relativeFrom="margin">
            <wp14:pctHeight>0</wp14:pctHeight>
          </wp14:sizeRelV>
        </wp:anchor>
      </w:drawing>
    </w:r>
    <w:r>
      <w:t xml:space="preserve">Cahier des Clauses Techniques Particulières – </w:t>
    </w:r>
    <w:r w:rsidR="002A59D5">
      <w:t>2</w:t>
    </w:r>
    <w:r w:rsidR="00673BCD">
      <w:t>7</w:t>
    </w:r>
    <w:r w:rsidR="002A59D5">
      <w:t xml:space="preserve"> janvier 2022</w:t>
    </w:r>
  </w:p>
  <w:p w14:paraId="1B1F5830" w14:textId="77777777" w:rsidR="00FF10D5" w:rsidRDefault="00FF10D5" w:rsidP="00291560">
    <w:pPr>
      <w:pStyle w:val="InfoEntete"/>
    </w:pPr>
    <w:r>
      <w:t xml:space="preserve"> </w:t>
    </w:r>
  </w:p>
  <w:p w14:paraId="1C86E8C1" w14:textId="77777777" w:rsidR="00FF10D5" w:rsidRDefault="00FF10D5" w:rsidP="009D5EBD">
    <w:pPr>
      <w:pStyle w:val="En-tte"/>
      <w:pBdr>
        <w:top w:val="single" w:sz="4" w:space="0" w:color="auto"/>
        <w:left w:val="single" w:sz="4" w:space="4" w:color="auto"/>
        <w:bottom w:val="single" w:sz="4" w:space="1" w:color="auto"/>
        <w:right w:val="single" w:sz="4" w:space="4" w:color="auto"/>
      </w:pBdr>
      <w:spacing w:before="240"/>
      <w:rPr>
        <w:rFonts w:ascii="Arial" w:hAnsi="Arial"/>
        <w:b/>
        <w:i/>
        <w:sz w:val="28"/>
      </w:rPr>
    </w:pPr>
    <w:r>
      <w:rPr>
        <w:rFonts w:ascii="Arial" w:hAnsi="Arial"/>
        <w:b/>
        <w:i/>
        <w:sz w:val="30"/>
      </w:rPr>
      <w:t>Lot PLATRERIE, DOUBLAGES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04"/>
    <w:rsid w:val="0000052D"/>
    <w:rsid w:val="00010EFC"/>
    <w:rsid w:val="000154F2"/>
    <w:rsid w:val="00017094"/>
    <w:rsid w:val="00021966"/>
    <w:rsid w:val="0002442C"/>
    <w:rsid w:val="00033BD9"/>
    <w:rsid w:val="0004026B"/>
    <w:rsid w:val="000414A8"/>
    <w:rsid w:val="00046E4B"/>
    <w:rsid w:val="000529A0"/>
    <w:rsid w:val="000535A6"/>
    <w:rsid w:val="00053A0E"/>
    <w:rsid w:val="0006060E"/>
    <w:rsid w:val="00060739"/>
    <w:rsid w:val="00060EEF"/>
    <w:rsid w:val="00066259"/>
    <w:rsid w:val="00066BCA"/>
    <w:rsid w:val="00066FA1"/>
    <w:rsid w:val="000708D0"/>
    <w:rsid w:val="00072A94"/>
    <w:rsid w:val="00072F07"/>
    <w:rsid w:val="000771E1"/>
    <w:rsid w:val="00082672"/>
    <w:rsid w:val="0008340A"/>
    <w:rsid w:val="000856F3"/>
    <w:rsid w:val="00086B2B"/>
    <w:rsid w:val="0008773E"/>
    <w:rsid w:val="0009325B"/>
    <w:rsid w:val="00094661"/>
    <w:rsid w:val="00096033"/>
    <w:rsid w:val="000A0077"/>
    <w:rsid w:val="000A78FD"/>
    <w:rsid w:val="000B306D"/>
    <w:rsid w:val="000B4925"/>
    <w:rsid w:val="000B5397"/>
    <w:rsid w:val="000C32BC"/>
    <w:rsid w:val="000C4E93"/>
    <w:rsid w:val="000C7978"/>
    <w:rsid w:val="000E105E"/>
    <w:rsid w:val="000E1E2C"/>
    <w:rsid w:val="000E50B7"/>
    <w:rsid w:val="000E63D4"/>
    <w:rsid w:val="000F73C3"/>
    <w:rsid w:val="000F7C4F"/>
    <w:rsid w:val="001000AC"/>
    <w:rsid w:val="00106B80"/>
    <w:rsid w:val="001145C9"/>
    <w:rsid w:val="001164B8"/>
    <w:rsid w:val="001178F8"/>
    <w:rsid w:val="00125ADA"/>
    <w:rsid w:val="00127287"/>
    <w:rsid w:val="00131239"/>
    <w:rsid w:val="001317F3"/>
    <w:rsid w:val="00133C20"/>
    <w:rsid w:val="0013744E"/>
    <w:rsid w:val="00137DDA"/>
    <w:rsid w:val="00141F2E"/>
    <w:rsid w:val="00143303"/>
    <w:rsid w:val="00144882"/>
    <w:rsid w:val="00146E85"/>
    <w:rsid w:val="00147483"/>
    <w:rsid w:val="001506EA"/>
    <w:rsid w:val="001604E0"/>
    <w:rsid w:val="0016113A"/>
    <w:rsid w:val="001721AF"/>
    <w:rsid w:val="00183485"/>
    <w:rsid w:val="00183689"/>
    <w:rsid w:val="00195EC1"/>
    <w:rsid w:val="00197092"/>
    <w:rsid w:val="00197870"/>
    <w:rsid w:val="001A29A8"/>
    <w:rsid w:val="001A4927"/>
    <w:rsid w:val="001B0377"/>
    <w:rsid w:val="001B17B6"/>
    <w:rsid w:val="001B7AC7"/>
    <w:rsid w:val="001C09CE"/>
    <w:rsid w:val="001C29D4"/>
    <w:rsid w:val="001D0639"/>
    <w:rsid w:val="001D0830"/>
    <w:rsid w:val="001D382A"/>
    <w:rsid w:val="001D3DF2"/>
    <w:rsid w:val="001E2D13"/>
    <w:rsid w:val="001E6B84"/>
    <w:rsid w:val="001E74D3"/>
    <w:rsid w:val="002006D9"/>
    <w:rsid w:val="00201FFF"/>
    <w:rsid w:val="002043AD"/>
    <w:rsid w:val="0021595A"/>
    <w:rsid w:val="002160F7"/>
    <w:rsid w:val="002172D7"/>
    <w:rsid w:val="002239DB"/>
    <w:rsid w:val="00225C12"/>
    <w:rsid w:val="00232B15"/>
    <w:rsid w:val="0023331A"/>
    <w:rsid w:val="00234EBE"/>
    <w:rsid w:val="00236805"/>
    <w:rsid w:val="00251AFF"/>
    <w:rsid w:val="0025223C"/>
    <w:rsid w:val="00253087"/>
    <w:rsid w:val="00253B63"/>
    <w:rsid w:val="002553CE"/>
    <w:rsid w:val="00260846"/>
    <w:rsid w:val="00260B65"/>
    <w:rsid w:val="00261205"/>
    <w:rsid w:val="00266820"/>
    <w:rsid w:val="00267312"/>
    <w:rsid w:val="0026736A"/>
    <w:rsid w:val="0027611C"/>
    <w:rsid w:val="00287B02"/>
    <w:rsid w:val="00291560"/>
    <w:rsid w:val="00293372"/>
    <w:rsid w:val="002A59D5"/>
    <w:rsid w:val="002A7585"/>
    <w:rsid w:val="002B0BCC"/>
    <w:rsid w:val="002B377A"/>
    <w:rsid w:val="002C060F"/>
    <w:rsid w:val="002C3581"/>
    <w:rsid w:val="002D0DAB"/>
    <w:rsid w:val="002D491B"/>
    <w:rsid w:val="002E1B28"/>
    <w:rsid w:val="00302A0B"/>
    <w:rsid w:val="0030538F"/>
    <w:rsid w:val="00312B65"/>
    <w:rsid w:val="00313FBA"/>
    <w:rsid w:val="00314C7A"/>
    <w:rsid w:val="003167C0"/>
    <w:rsid w:val="00316942"/>
    <w:rsid w:val="00322F97"/>
    <w:rsid w:val="00324355"/>
    <w:rsid w:val="00327CDB"/>
    <w:rsid w:val="00330206"/>
    <w:rsid w:val="0033172A"/>
    <w:rsid w:val="00332C21"/>
    <w:rsid w:val="00337C21"/>
    <w:rsid w:val="00337E20"/>
    <w:rsid w:val="00346E38"/>
    <w:rsid w:val="003471A6"/>
    <w:rsid w:val="00354D49"/>
    <w:rsid w:val="00357FFA"/>
    <w:rsid w:val="00367965"/>
    <w:rsid w:val="0037435E"/>
    <w:rsid w:val="00375155"/>
    <w:rsid w:val="003815A8"/>
    <w:rsid w:val="00383A9E"/>
    <w:rsid w:val="00391A99"/>
    <w:rsid w:val="003A0552"/>
    <w:rsid w:val="003A4C20"/>
    <w:rsid w:val="003A6579"/>
    <w:rsid w:val="003A675F"/>
    <w:rsid w:val="003B05C0"/>
    <w:rsid w:val="003B1100"/>
    <w:rsid w:val="003C2317"/>
    <w:rsid w:val="003C297B"/>
    <w:rsid w:val="003D2104"/>
    <w:rsid w:val="003D2920"/>
    <w:rsid w:val="003E04B0"/>
    <w:rsid w:val="003E1B94"/>
    <w:rsid w:val="003E22F6"/>
    <w:rsid w:val="003E5B2F"/>
    <w:rsid w:val="003F04CC"/>
    <w:rsid w:val="00401213"/>
    <w:rsid w:val="00402CEE"/>
    <w:rsid w:val="00404C98"/>
    <w:rsid w:val="00405D67"/>
    <w:rsid w:val="004061CB"/>
    <w:rsid w:val="00406CCD"/>
    <w:rsid w:val="00423CB0"/>
    <w:rsid w:val="00424E45"/>
    <w:rsid w:val="0042646A"/>
    <w:rsid w:val="004307D6"/>
    <w:rsid w:val="0044159F"/>
    <w:rsid w:val="00444E2B"/>
    <w:rsid w:val="00445425"/>
    <w:rsid w:val="00450670"/>
    <w:rsid w:val="00452D98"/>
    <w:rsid w:val="00454528"/>
    <w:rsid w:val="00455A6D"/>
    <w:rsid w:val="00456745"/>
    <w:rsid w:val="00460E3C"/>
    <w:rsid w:val="00460F4D"/>
    <w:rsid w:val="00461B96"/>
    <w:rsid w:val="00465C6A"/>
    <w:rsid w:val="0046645B"/>
    <w:rsid w:val="0047057F"/>
    <w:rsid w:val="00472669"/>
    <w:rsid w:val="00476E6E"/>
    <w:rsid w:val="00480A7D"/>
    <w:rsid w:val="00483AC6"/>
    <w:rsid w:val="00483C9E"/>
    <w:rsid w:val="004934E9"/>
    <w:rsid w:val="004A4F52"/>
    <w:rsid w:val="004B19EB"/>
    <w:rsid w:val="004B2955"/>
    <w:rsid w:val="004B3915"/>
    <w:rsid w:val="004B59C5"/>
    <w:rsid w:val="004B73D6"/>
    <w:rsid w:val="004C18E7"/>
    <w:rsid w:val="004C64A2"/>
    <w:rsid w:val="004D0544"/>
    <w:rsid w:val="004D4F87"/>
    <w:rsid w:val="004E5C5E"/>
    <w:rsid w:val="004E5EA2"/>
    <w:rsid w:val="004E7DC2"/>
    <w:rsid w:val="004F5BAC"/>
    <w:rsid w:val="00505E3B"/>
    <w:rsid w:val="005078C7"/>
    <w:rsid w:val="00511719"/>
    <w:rsid w:val="005160AA"/>
    <w:rsid w:val="00526ED6"/>
    <w:rsid w:val="005274F0"/>
    <w:rsid w:val="00533E17"/>
    <w:rsid w:val="00541D0F"/>
    <w:rsid w:val="00547B66"/>
    <w:rsid w:val="00550D4B"/>
    <w:rsid w:val="00553C2D"/>
    <w:rsid w:val="00556843"/>
    <w:rsid w:val="00556C8D"/>
    <w:rsid w:val="005647A8"/>
    <w:rsid w:val="00567C25"/>
    <w:rsid w:val="00570F17"/>
    <w:rsid w:val="005724A1"/>
    <w:rsid w:val="005764B6"/>
    <w:rsid w:val="00595CEA"/>
    <w:rsid w:val="005A3E8F"/>
    <w:rsid w:val="005A3F12"/>
    <w:rsid w:val="005A4AD9"/>
    <w:rsid w:val="005A785A"/>
    <w:rsid w:val="005B5F33"/>
    <w:rsid w:val="005B6FAF"/>
    <w:rsid w:val="005B712C"/>
    <w:rsid w:val="005C16E0"/>
    <w:rsid w:val="005C3054"/>
    <w:rsid w:val="005C3DEC"/>
    <w:rsid w:val="005C6498"/>
    <w:rsid w:val="005C64D1"/>
    <w:rsid w:val="005D1429"/>
    <w:rsid w:val="005D2BCF"/>
    <w:rsid w:val="005D3398"/>
    <w:rsid w:val="005D7135"/>
    <w:rsid w:val="005E0FAE"/>
    <w:rsid w:val="005E5C1D"/>
    <w:rsid w:val="005E6AFC"/>
    <w:rsid w:val="005E7832"/>
    <w:rsid w:val="00606F41"/>
    <w:rsid w:val="00606FD1"/>
    <w:rsid w:val="00615982"/>
    <w:rsid w:val="00615BB4"/>
    <w:rsid w:val="0062244E"/>
    <w:rsid w:val="00623746"/>
    <w:rsid w:val="006241EB"/>
    <w:rsid w:val="00627C47"/>
    <w:rsid w:val="0063249C"/>
    <w:rsid w:val="006334CA"/>
    <w:rsid w:val="00634F2B"/>
    <w:rsid w:val="00642DB0"/>
    <w:rsid w:val="00644AD7"/>
    <w:rsid w:val="00644F13"/>
    <w:rsid w:val="00650341"/>
    <w:rsid w:val="00651B2B"/>
    <w:rsid w:val="00656B2F"/>
    <w:rsid w:val="0065776C"/>
    <w:rsid w:val="006607A2"/>
    <w:rsid w:val="00662140"/>
    <w:rsid w:val="00673BCD"/>
    <w:rsid w:val="00680C67"/>
    <w:rsid w:val="00682AE4"/>
    <w:rsid w:val="006845C7"/>
    <w:rsid w:val="0069639D"/>
    <w:rsid w:val="006966C5"/>
    <w:rsid w:val="006A3DEC"/>
    <w:rsid w:val="006B0025"/>
    <w:rsid w:val="006B0331"/>
    <w:rsid w:val="006B0447"/>
    <w:rsid w:val="006B65A8"/>
    <w:rsid w:val="006D2DD5"/>
    <w:rsid w:val="006D52D1"/>
    <w:rsid w:val="006D578C"/>
    <w:rsid w:val="006E1F21"/>
    <w:rsid w:val="006E3856"/>
    <w:rsid w:val="006E4511"/>
    <w:rsid w:val="006F072B"/>
    <w:rsid w:val="006F0D58"/>
    <w:rsid w:val="006F2868"/>
    <w:rsid w:val="006F7D18"/>
    <w:rsid w:val="00701E62"/>
    <w:rsid w:val="00711EB6"/>
    <w:rsid w:val="007270CD"/>
    <w:rsid w:val="00730956"/>
    <w:rsid w:val="00735908"/>
    <w:rsid w:val="00737067"/>
    <w:rsid w:val="00746CF7"/>
    <w:rsid w:val="00751397"/>
    <w:rsid w:val="00753D7E"/>
    <w:rsid w:val="00757D64"/>
    <w:rsid w:val="007623AA"/>
    <w:rsid w:val="007670E5"/>
    <w:rsid w:val="00776B37"/>
    <w:rsid w:val="00784532"/>
    <w:rsid w:val="00787421"/>
    <w:rsid w:val="00794F3A"/>
    <w:rsid w:val="007A1C76"/>
    <w:rsid w:val="007A315E"/>
    <w:rsid w:val="007A7740"/>
    <w:rsid w:val="007B130D"/>
    <w:rsid w:val="007B2961"/>
    <w:rsid w:val="007B39DB"/>
    <w:rsid w:val="007B4CA3"/>
    <w:rsid w:val="007B581B"/>
    <w:rsid w:val="007C0261"/>
    <w:rsid w:val="007C3D44"/>
    <w:rsid w:val="007C40FD"/>
    <w:rsid w:val="007C5ED4"/>
    <w:rsid w:val="007D0383"/>
    <w:rsid w:val="007D082E"/>
    <w:rsid w:val="007D2137"/>
    <w:rsid w:val="007D337D"/>
    <w:rsid w:val="007D552D"/>
    <w:rsid w:val="007D6BC1"/>
    <w:rsid w:val="007E2FDE"/>
    <w:rsid w:val="007E4D89"/>
    <w:rsid w:val="00811A5B"/>
    <w:rsid w:val="00821820"/>
    <w:rsid w:val="00826738"/>
    <w:rsid w:val="00826D02"/>
    <w:rsid w:val="00830D7B"/>
    <w:rsid w:val="00831A00"/>
    <w:rsid w:val="0083661E"/>
    <w:rsid w:val="00837BC3"/>
    <w:rsid w:val="00837D82"/>
    <w:rsid w:val="0084404B"/>
    <w:rsid w:val="0084491B"/>
    <w:rsid w:val="00844B4F"/>
    <w:rsid w:val="00853E0C"/>
    <w:rsid w:val="00865C62"/>
    <w:rsid w:val="00873CDB"/>
    <w:rsid w:val="0087423B"/>
    <w:rsid w:val="00874F66"/>
    <w:rsid w:val="00877D2F"/>
    <w:rsid w:val="00883514"/>
    <w:rsid w:val="00886068"/>
    <w:rsid w:val="00896324"/>
    <w:rsid w:val="008A43EC"/>
    <w:rsid w:val="008B0793"/>
    <w:rsid w:val="008C20CB"/>
    <w:rsid w:val="008C235F"/>
    <w:rsid w:val="008C6B3B"/>
    <w:rsid w:val="008D4AAC"/>
    <w:rsid w:val="008D5207"/>
    <w:rsid w:val="008D6E3E"/>
    <w:rsid w:val="008D737A"/>
    <w:rsid w:val="008D7DF0"/>
    <w:rsid w:val="008E385B"/>
    <w:rsid w:val="00900430"/>
    <w:rsid w:val="00905735"/>
    <w:rsid w:val="00920740"/>
    <w:rsid w:val="00921D05"/>
    <w:rsid w:val="009251F8"/>
    <w:rsid w:val="009351D4"/>
    <w:rsid w:val="00942F9F"/>
    <w:rsid w:val="0094501B"/>
    <w:rsid w:val="00945ADB"/>
    <w:rsid w:val="00950179"/>
    <w:rsid w:val="00952362"/>
    <w:rsid w:val="00954A08"/>
    <w:rsid w:val="00954E45"/>
    <w:rsid w:val="00954EB2"/>
    <w:rsid w:val="009562AE"/>
    <w:rsid w:val="009630F2"/>
    <w:rsid w:val="00971B3F"/>
    <w:rsid w:val="00972009"/>
    <w:rsid w:val="0097639B"/>
    <w:rsid w:val="00984E4E"/>
    <w:rsid w:val="00987AC5"/>
    <w:rsid w:val="009901A0"/>
    <w:rsid w:val="00996A35"/>
    <w:rsid w:val="009A078D"/>
    <w:rsid w:val="009A128C"/>
    <w:rsid w:val="009A1535"/>
    <w:rsid w:val="009A3E2A"/>
    <w:rsid w:val="009A4271"/>
    <w:rsid w:val="009B3B83"/>
    <w:rsid w:val="009B3C69"/>
    <w:rsid w:val="009B41A1"/>
    <w:rsid w:val="009C1581"/>
    <w:rsid w:val="009C2354"/>
    <w:rsid w:val="009C2A0D"/>
    <w:rsid w:val="009D0EAB"/>
    <w:rsid w:val="009D2D8C"/>
    <w:rsid w:val="009D2E49"/>
    <w:rsid w:val="009D5EBD"/>
    <w:rsid w:val="009E39BA"/>
    <w:rsid w:val="009E584E"/>
    <w:rsid w:val="009E69FB"/>
    <w:rsid w:val="009F1DA6"/>
    <w:rsid w:val="009F4768"/>
    <w:rsid w:val="009F5853"/>
    <w:rsid w:val="009F6732"/>
    <w:rsid w:val="009F7A62"/>
    <w:rsid w:val="00A10B4F"/>
    <w:rsid w:val="00A168F0"/>
    <w:rsid w:val="00A212FF"/>
    <w:rsid w:val="00A24212"/>
    <w:rsid w:val="00A248D2"/>
    <w:rsid w:val="00A2776D"/>
    <w:rsid w:val="00A30170"/>
    <w:rsid w:val="00A339A7"/>
    <w:rsid w:val="00A35A3F"/>
    <w:rsid w:val="00A36285"/>
    <w:rsid w:val="00A37A31"/>
    <w:rsid w:val="00A47123"/>
    <w:rsid w:val="00A47C56"/>
    <w:rsid w:val="00A50E4A"/>
    <w:rsid w:val="00A50E63"/>
    <w:rsid w:val="00A554AE"/>
    <w:rsid w:val="00A577E0"/>
    <w:rsid w:val="00A64773"/>
    <w:rsid w:val="00A65C7F"/>
    <w:rsid w:val="00A65D14"/>
    <w:rsid w:val="00A66FE3"/>
    <w:rsid w:val="00A708C2"/>
    <w:rsid w:val="00A766FD"/>
    <w:rsid w:val="00A77BD2"/>
    <w:rsid w:val="00A77F18"/>
    <w:rsid w:val="00A80359"/>
    <w:rsid w:val="00A83EE9"/>
    <w:rsid w:val="00A872E2"/>
    <w:rsid w:val="00A941D6"/>
    <w:rsid w:val="00AA5A55"/>
    <w:rsid w:val="00AA67D2"/>
    <w:rsid w:val="00AB0399"/>
    <w:rsid w:val="00AC0CF1"/>
    <w:rsid w:val="00AC37ED"/>
    <w:rsid w:val="00AC6E2A"/>
    <w:rsid w:val="00AC74EA"/>
    <w:rsid w:val="00AD0982"/>
    <w:rsid w:val="00AD315B"/>
    <w:rsid w:val="00AD3D63"/>
    <w:rsid w:val="00AD41CD"/>
    <w:rsid w:val="00AD5193"/>
    <w:rsid w:val="00AD5D10"/>
    <w:rsid w:val="00AD78E4"/>
    <w:rsid w:val="00AF3ECA"/>
    <w:rsid w:val="00AF6A91"/>
    <w:rsid w:val="00B03333"/>
    <w:rsid w:val="00B04DF0"/>
    <w:rsid w:val="00B06145"/>
    <w:rsid w:val="00B07125"/>
    <w:rsid w:val="00B12CA4"/>
    <w:rsid w:val="00B16063"/>
    <w:rsid w:val="00B24B6A"/>
    <w:rsid w:val="00B271CE"/>
    <w:rsid w:val="00B353B1"/>
    <w:rsid w:val="00B42352"/>
    <w:rsid w:val="00B423CB"/>
    <w:rsid w:val="00B4267C"/>
    <w:rsid w:val="00B43195"/>
    <w:rsid w:val="00B43306"/>
    <w:rsid w:val="00B50228"/>
    <w:rsid w:val="00B5029D"/>
    <w:rsid w:val="00B5137F"/>
    <w:rsid w:val="00B513A4"/>
    <w:rsid w:val="00B62DE7"/>
    <w:rsid w:val="00B6578F"/>
    <w:rsid w:val="00B738D3"/>
    <w:rsid w:val="00B7423F"/>
    <w:rsid w:val="00B76CE2"/>
    <w:rsid w:val="00B81587"/>
    <w:rsid w:val="00B90677"/>
    <w:rsid w:val="00BB2907"/>
    <w:rsid w:val="00BB5015"/>
    <w:rsid w:val="00BB6E30"/>
    <w:rsid w:val="00BB700B"/>
    <w:rsid w:val="00BB7643"/>
    <w:rsid w:val="00BB76E6"/>
    <w:rsid w:val="00BC09D8"/>
    <w:rsid w:val="00BC4C82"/>
    <w:rsid w:val="00BC55F6"/>
    <w:rsid w:val="00BC5A86"/>
    <w:rsid w:val="00BE198A"/>
    <w:rsid w:val="00BE469D"/>
    <w:rsid w:val="00BE6877"/>
    <w:rsid w:val="00BE6C21"/>
    <w:rsid w:val="00BF115D"/>
    <w:rsid w:val="00BF18CE"/>
    <w:rsid w:val="00BF2E2D"/>
    <w:rsid w:val="00C00D36"/>
    <w:rsid w:val="00C052FE"/>
    <w:rsid w:val="00C14791"/>
    <w:rsid w:val="00C21817"/>
    <w:rsid w:val="00C21A02"/>
    <w:rsid w:val="00C223F9"/>
    <w:rsid w:val="00C227D5"/>
    <w:rsid w:val="00C2741A"/>
    <w:rsid w:val="00C31371"/>
    <w:rsid w:val="00C31878"/>
    <w:rsid w:val="00C35457"/>
    <w:rsid w:val="00C3641F"/>
    <w:rsid w:val="00C36B28"/>
    <w:rsid w:val="00C423D5"/>
    <w:rsid w:val="00C4271E"/>
    <w:rsid w:val="00C4392B"/>
    <w:rsid w:val="00C44F8B"/>
    <w:rsid w:val="00C50C9E"/>
    <w:rsid w:val="00C52ACF"/>
    <w:rsid w:val="00C5523B"/>
    <w:rsid w:val="00C565A9"/>
    <w:rsid w:val="00C60648"/>
    <w:rsid w:val="00C62DB7"/>
    <w:rsid w:val="00C655CE"/>
    <w:rsid w:val="00C664B3"/>
    <w:rsid w:val="00C670A3"/>
    <w:rsid w:val="00C67775"/>
    <w:rsid w:val="00C67DC1"/>
    <w:rsid w:val="00C7074B"/>
    <w:rsid w:val="00C71675"/>
    <w:rsid w:val="00C7661F"/>
    <w:rsid w:val="00C8044C"/>
    <w:rsid w:val="00C804EA"/>
    <w:rsid w:val="00C82396"/>
    <w:rsid w:val="00C8242C"/>
    <w:rsid w:val="00C82693"/>
    <w:rsid w:val="00C837E3"/>
    <w:rsid w:val="00C86942"/>
    <w:rsid w:val="00C90AE6"/>
    <w:rsid w:val="00C9104B"/>
    <w:rsid w:val="00C94888"/>
    <w:rsid w:val="00CA46FD"/>
    <w:rsid w:val="00CA6C27"/>
    <w:rsid w:val="00CB563C"/>
    <w:rsid w:val="00CB5F68"/>
    <w:rsid w:val="00CC06F5"/>
    <w:rsid w:val="00CC7027"/>
    <w:rsid w:val="00CD6E71"/>
    <w:rsid w:val="00CD7B29"/>
    <w:rsid w:val="00CE3D04"/>
    <w:rsid w:val="00CE4220"/>
    <w:rsid w:val="00CE538C"/>
    <w:rsid w:val="00CE709D"/>
    <w:rsid w:val="00D05518"/>
    <w:rsid w:val="00D06ABE"/>
    <w:rsid w:val="00D139D6"/>
    <w:rsid w:val="00D1489C"/>
    <w:rsid w:val="00D17735"/>
    <w:rsid w:val="00D32BA2"/>
    <w:rsid w:val="00D34308"/>
    <w:rsid w:val="00D407D0"/>
    <w:rsid w:val="00D40A9C"/>
    <w:rsid w:val="00D41079"/>
    <w:rsid w:val="00D41388"/>
    <w:rsid w:val="00D42E19"/>
    <w:rsid w:val="00D43141"/>
    <w:rsid w:val="00D52771"/>
    <w:rsid w:val="00D53E9F"/>
    <w:rsid w:val="00D7018A"/>
    <w:rsid w:val="00D80D92"/>
    <w:rsid w:val="00D828D5"/>
    <w:rsid w:val="00D82C17"/>
    <w:rsid w:val="00D831F7"/>
    <w:rsid w:val="00D92C61"/>
    <w:rsid w:val="00D95527"/>
    <w:rsid w:val="00D9656D"/>
    <w:rsid w:val="00DA645B"/>
    <w:rsid w:val="00DB05D1"/>
    <w:rsid w:val="00DB09FE"/>
    <w:rsid w:val="00DB15FC"/>
    <w:rsid w:val="00DD7F3C"/>
    <w:rsid w:val="00DE0D71"/>
    <w:rsid w:val="00DE1647"/>
    <w:rsid w:val="00DE1DBB"/>
    <w:rsid w:val="00DE73AE"/>
    <w:rsid w:val="00DF4C1D"/>
    <w:rsid w:val="00E03158"/>
    <w:rsid w:val="00E03464"/>
    <w:rsid w:val="00E05FF9"/>
    <w:rsid w:val="00E14BBD"/>
    <w:rsid w:val="00E14C12"/>
    <w:rsid w:val="00E213A5"/>
    <w:rsid w:val="00E214E2"/>
    <w:rsid w:val="00E22E97"/>
    <w:rsid w:val="00E34D6C"/>
    <w:rsid w:val="00E37741"/>
    <w:rsid w:val="00E44C43"/>
    <w:rsid w:val="00E47575"/>
    <w:rsid w:val="00E50D77"/>
    <w:rsid w:val="00E567AE"/>
    <w:rsid w:val="00E65575"/>
    <w:rsid w:val="00E65EDE"/>
    <w:rsid w:val="00E66314"/>
    <w:rsid w:val="00E67835"/>
    <w:rsid w:val="00E73844"/>
    <w:rsid w:val="00E738F9"/>
    <w:rsid w:val="00E74891"/>
    <w:rsid w:val="00E767E3"/>
    <w:rsid w:val="00E81169"/>
    <w:rsid w:val="00E941C4"/>
    <w:rsid w:val="00EA2837"/>
    <w:rsid w:val="00EA3666"/>
    <w:rsid w:val="00EA582F"/>
    <w:rsid w:val="00EB049F"/>
    <w:rsid w:val="00EB5560"/>
    <w:rsid w:val="00EB5831"/>
    <w:rsid w:val="00EB6972"/>
    <w:rsid w:val="00EC2BD5"/>
    <w:rsid w:val="00EC4B48"/>
    <w:rsid w:val="00ED0B5F"/>
    <w:rsid w:val="00ED2696"/>
    <w:rsid w:val="00ED3A48"/>
    <w:rsid w:val="00ED4E4B"/>
    <w:rsid w:val="00EE4130"/>
    <w:rsid w:val="00EE468B"/>
    <w:rsid w:val="00EE4D5D"/>
    <w:rsid w:val="00F015E1"/>
    <w:rsid w:val="00F038E7"/>
    <w:rsid w:val="00F058BE"/>
    <w:rsid w:val="00F10594"/>
    <w:rsid w:val="00F11009"/>
    <w:rsid w:val="00F15831"/>
    <w:rsid w:val="00F171F4"/>
    <w:rsid w:val="00F22E8C"/>
    <w:rsid w:val="00F23128"/>
    <w:rsid w:val="00F2401B"/>
    <w:rsid w:val="00F26F40"/>
    <w:rsid w:val="00F31FED"/>
    <w:rsid w:val="00F401F2"/>
    <w:rsid w:val="00F42F74"/>
    <w:rsid w:val="00F4587D"/>
    <w:rsid w:val="00F50281"/>
    <w:rsid w:val="00F521D8"/>
    <w:rsid w:val="00F55896"/>
    <w:rsid w:val="00F656CF"/>
    <w:rsid w:val="00F67882"/>
    <w:rsid w:val="00F75342"/>
    <w:rsid w:val="00F767E2"/>
    <w:rsid w:val="00F805AB"/>
    <w:rsid w:val="00F80C6A"/>
    <w:rsid w:val="00F81D7B"/>
    <w:rsid w:val="00F82673"/>
    <w:rsid w:val="00F85E46"/>
    <w:rsid w:val="00F928E8"/>
    <w:rsid w:val="00F97E52"/>
    <w:rsid w:val="00FA3242"/>
    <w:rsid w:val="00FB10D7"/>
    <w:rsid w:val="00FB3054"/>
    <w:rsid w:val="00FC10ED"/>
    <w:rsid w:val="00FC28FF"/>
    <w:rsid w:val="00FD367F"/>
    <w:rsid w:val="00FD61EF"/>
    <w:rsid w:val="00FD74F2"/>
    <w:rsid w:val="00FF10D5"/>
    <w:rsid w:val="00FF1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56A0B6"/>
  <w15:docId w15:val="{0E074FF9-CE33-41C9-AD1C-7D34CED8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239"/>
  </w:style>
  <w:style w:type="paragraph" w:styleId="Titre4">
    <w:name w:val="heading 4"/>
    <w:basedOn w:val="Normal"/>
    <w:next w:val="Normal"/>
    <w:link w:val="Titre4Car"/>
    <w:qFormat/>
    <w:rsid w:val="0047057F"/>
    <w:pPr>
      <w:keepNext/>
      <w:jc w:val="center"/>
      <w:outlineLvl w:val="3"/>
    </w:pPr>
    <w:rPr>
      <w:b/>
      <w:i/>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3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1">
    <w:name w:val="Chap 1"/>
    <w:link w:val="Chap1Car"/>
    <w:autoRedefine/>
    <w:rsid w:val="0047057F"/>
    <w:pPr>
      <w:pBdr>
        <w:top w:val="single" w:sz="4" w:space="1" w:color="000000"/>
        <w:left w:val="single" w:sz="4" w:space="0" w:color="000000"/>
        <w:bottom w:val="single" w:sz="4" w:space="1" w:color="000000"/>
        <w:right w:val="single" w:sz="4" w:space="0" w:color="000000"/>
      </w:pBdr>
      <w:shd w:val="clear" w:color="auto" w:fill="FFFFFF"/>
      <w:spacing w:before="624"/>
      <w:contextualSpacing/>
      <w:outlineLvl w:val="2"/>
    </w:pPr>
    <w:rPr>
      <w:b/>
      <w:color w:val="000000"/>
      <w:sz w:val="26"/>
      <w:szCs w:val="24"/>
    </w:rPr>
  </w:style>
  <w:style w:type="paragraph" w:customStyle="1" w:styleId="Chap2">
    <w:name w:val="Chap 2"/>
    <w:link w:val="Chap2Car"/>
    <w:autoRedefine/>
    <w:rsid w:val="0047057F"/>
    <w:pPr>
      <w:spacing w:before="510"/>
      <w:contextualSpacing/>
      <w:outlineLvl w:val="3"/>
    </w:pPr>
    <w:rPr>
      <w:b/>
      <w:color w:val="000000"/>
      <w:sz w:val="28"/>
      <w:szCs w:val="24"/>
    </w:rPr>
  </w:style>
  <w:style w:type="paragraph" w:customStyle="1" w:styleId="Chap3">
    <w:name w:val="Chap 3"/>
    <w:link w:val="Chap3Car"/>
    <w:autoRedefine/>
    <w:rsid w:val="0047057F"/>
    <w:pPr>
      <w:spacing w:before="283"/>
      <w:contextualSpacing/>
      <w:jc w:val="both"/>
      <w:outlineLvl w:val="4"/>
    </w:pPr>
    <w:rPr>
      <w:b/>
      <w:color w:val="000000"/>
      <w:sz w:val="18"/>
      <w:szCs w:val="24"/>
    </w:rPr>
  </w:style>
  <w:style w:type="paragraph" w:customStyle="1" w:styleId="Structure">
    <w:name w:val="Structure"/>
    <w:link w:val="StructureCar"/>
    <w:autoRedefine/>
    <w:rsid w:val="00C62DB7"/>
    <w:pPr>
      <w:spacing w:before="170"/>
      <w:ind w:left="709"/>
      <w:contextualSpacing/>
      <w:outlineLvl w:val="7"/>
    </w:pPr>
    <w:rPr>
      <w:sz w:val="18"/>
      <w:szCs w:val="24"/>
    </w:rPr>
  </w:style>
  <w:style w:type="paragraph" w:customStyle="1" w:styleId="TitreArticle">
    <w:name w:val="Titre Article"/>
    <w:link w:val="TitreArticleCar"/>
    <w:autoRedefine/>
    <w:rsid w:val="00082672"/>
    <w:pPr>
      <w:spacing w:before="170"/>
      <w:ind w:left="1077" w:hanging="1077"/>
      <w:contextualSpacing/>
      <w:outlineLvl w:val="7"/>
    </w:pPr>
    <w:rPr>
      <w:color w:val="000000"/>
      <w:szCs w:val="24"/>
    </w:rPr>
  </w:style>
  <w:style w:type="paragraph" w:customStyle="1" w:styleId="DescrArticle">
    <w:name w:val="Descr Article"/>
    <w:link w:val="DescrArticleCar"/>
    <w:autoRedefine/>
    <w:rsid w:val="00082672"/>
    <w:pPr>
      <w:ind w:left="1418" w:hanging="709"/>
      <w:contextualSpacing/>
      <w:outlineLvl w:val="8"/>
    </w:pPr>
    <w:rPr>
      <w:color w:val="000000"/>
      <w:szCs w:val="24"/>
    </w:rPr>
  </w:style>
  <w:style w:type="paragraph" w:customStyle="1" w:styleId="LocLitteraire">
    <w:name w:val="Loc Litteraire"/>
    <w:link w:val="LocLitteraireCar"/>
    <w:autoRedefine/>
    <w:rsid w:val="0047057F"/>
    <w:pPr>
      <w:spacing w:before="57"/>
      <w:ind w:left="1417"/>
      <w:contextualSpacing/>
    </w:pPr>
    <w:rPr>
      <w:i/>
      <w:color w:val="000000"/>
      <w:sz w:val="16"/>
      <w:szCs w:val="24"/>
    </w:rPr>
  </w:style>
  <w:style w:type="paragraph" w:styleId="En-tte">
    <w:name w:val="header"/>
    <w:basedOn w:val="Normal"/>
    <w:link w:val="En-tteCar"/>
    <w:uiPriority w:val="99"/>
    <w:rsid w:val="0047057F"/>
    <w:pPr>
      <w:tabs>
        <w:tab w:val="center" w:pos="4536"/>
        <w:tab w:val="right" w:pos="9072"/>
      </w:tabs>
    </w:pPr>
    <w:rPr>
      <w:sz w:val="24"/>
      <w:szCs w:val="24"/>
    </w:rPr>
  </w:style>
  <w:style w:type="paragraph" w:styleId="Pieddepage">
    <w:name w:val="footer"/>
    <w:basedOn w:val="Normal"/>
    <w:link w:val="PieddepageCar"/>
    <w:uiPriority w:val="99"/>
    <w:rsid w:val="0047057F"/>
    <w:pPr>
      <w:tabs>
        <w:tab w:val="center" w:pos="4536"/>
        <w:tab w:val="right" w:pos="9072"/>
      </w:tabs>
    </w:pPr>
    <w:rPr>
      <w:sz w:val="24"/>
      <w:szCs w:val="24"/>
    </w:rPr>
  </w:style>
  <w:style w:type="character" w:styleId="Numrodepage">
    <w:name w:val="page number"/>
    <w:basedOn w:val="Policepardfaut"/>
    <w:rsid w:val="0047057F"/>
  </w:style>
  <w:style w:type="character" w:styleId="Lienhypertexte">
    <w:name w:val="Hyperlink"/>
    <w:basedOn w:val="Policepardfaut"/>
    <w:uiPriority w:val="99"/>
    <w:rsid w:val="0047057F"/>
    <w:rPr>
      <w:color w:val="0000FF"/>
      <w:u w:val="single"/>
    </w:rPr>
  </w:style>
  <w:style w:type="paragraph" w:styleId="TM1">
    <w:name w:val="toc 1"/>
    <w:basedOn w:val="Normal"/>
    <w:next w:val="Normal"/>
    <w:autoRedefine/>
    <w:uiPriority w:val="39"/>
    <w:rsid w:val="0047057F"/>
    <w:pPr>
      <w:spacing w:before="120" w:after="120"/>
    </w:pPr>
    <w:rPr>
      <w:b/>
      <w:i/>
      <w:caps/>
      <w:sz w:val="18"/>
      <w:szCs w:val="24"/>
    </w:rPr>
  </w:style>
  <w:style w:type="paragraph" w:styleId="TM2">
    <w:name w:val="toc 2"/>
    <w:basedOn w:val="Normal"/>
    <w:next w:val="Normal"/>
    <w:autoRedefine/>
    <w:uiPriority w:val="39"/>
    <w:rsid w:val="0047057F"/>
    <w:pPr>
      <w:tabs>
        <w:tab w:val="left" w:pos="1000"/>
        <w:tab w:val="right" w:leader="dot" w:pos="9741"/>
      </w:tabs>
      <w:ind w:left="200"/>
    </w:pPr>
    <w:rPr>
      <w:rFonts w:eastAsia="MS Mincho"/>
      <w:i/>
      <w:smallCaps/>
      <w:noProof/>
      <w:sz w:val="16"/>
      <w:szCs w:val="32"/>
    </w:rPr>
  </w:style>
  <w:style w:type="character" w:customStyle="1" w:styleId="Chap1Car">
    <w:name w:val="Chap 1 Car"/>
    <w:basedOn w:val="Policepardfaut"/>
    <w:link w:val="Chap1"/>
    <w:rsid w:val="0047057F"/>
    <w:rPr>
      <w:b/>
      <w:color w:val="000000"/>
      <w:sz w:val="26"/>
      <w:szCs w:val="24"/>
      <w:lang w:val="fr-FR" w:eastAsia="fr-FR" w:bidi="ar-SA"/>
    </w:rPr>
  </w:style>
  <w:style w:type="paragraph" w:customStyle="1" w:styleId="Lot">
    <w:name w:val="Lot"/>
    <w:link w:val="LotCar"/>
    <w:autoRedefine/>
    <w:rsid w:val="003E22F6"/>
    <w:pPr>
      <w:spacing w:before="227" w:after="227"/>
      <w:contextualSpacing/>
      <w:outlineLvl w:val="0"/>
    </w:pPr>
    <w:rPr>
      <w:rFonts w:ascii="Arial" w:hAnsi="Arial" w:cs="Arial"/>
      <w:b/>
      <w:i/>
      <w:color w:val="000000"/>
      <w:sz w:val="28"/>
      <w:szCs w:val="16"/>
    </w:rPr>
  </w:style>
  <w:style w:type="paragraph" w:customStyle="1" w:styleId="TitreEntete">
    <w:name w:val="Titre Entete"/>
    <w:link w:val="TitreEnteteCar"/>
    <w:autoRedefine/>
    <w:rsid w:val="003E22F6"/>
    <w:pPr>
      <w:tabs>
        <w:tab w:val="left" w:pos="1134"/>
      </w:tabs>
    </w:pPr>
    <w:rPr>
      <w:rFonts w:ascii="Arial" w:hAnsi="Arial" w:cs="Arial"/>
      <w:color w:val="000000"/>
      <w:sz w:val="24"/>
      <w:szCs w:val="16"/>
    </w:rPr>
  </w:style>
  <w:style w:type="paragraph" w:customStyle="1" w:styleId="InfoEntete">
    <w:name w:val="Info Entete"/>
    <w:link w:val="InfoEnteteCar"/>
    <w:autoRedefine/>
    <w:rsid w:val="003E22F6"/>
    <w:pPr>
      <w:tabs>
        <w:tab w:val="left" w:pos="1134"/>
      </w:tabs>
    </w:pPr>
    <w:rPr>
      <w:rFonts w:ascii="Arial" w:hAnsi="Arial" w:cs="Arial"/>
      <w:color w:val="000000"/>
      <w:szCs w:val="16"/>
    </w:rPr>
  </w:style>
  <w:style w:type="paragraph" w:customStyle="1" w:styleId="BasPage">
    <w:name w:val="Bas Page"/>
    <w:link w:val="BasPageCar"/>
    <w:autoRedefine/>
    <w:rsid w:val="003E22F6"/>
    <w:rPr>
      <w:rFonts w:ascii="Arial" w:hAnsi="Arial" w:cs="Arial"/>
      <w:color w:val="000000"/>
      <w:szCs w:val="16"/>
    </w:rPr>
  </w:style>
  <w:style w:type="character" w:customStyle="1" w:styleId="Chap2Car">
    <w:name w:val="Chap 2 Car"/>
    <w:basedOn w:val="Policepardfaut"/>
    <w:link w:val="Chap2"/>
    <w:rsid w:val="00F82673"/>
    <w:rPr>
      <w:b/>
      <w:color w:val="000000"/>
      <w:sz w:val="28"/>
      <w:szCs w:val="24"/>
    </w:rPr>
  </w:style>
  <w:style w:type="character" w:customStyle="1" w:styleId="Chap3Car">
    <w:name w:val="Chap 3 Car"/>
    <w:basedOn w:val="Policepardfaut"/>
    <w:link w:val="Chap3"/>
    <w:rsid w:val="00F82673"/>
    <w:rPr>
      <w:b/>
      <w:color w:val="000000"/>
      <w:sz w:val="18"/>
      <w:szCs w:val="24"/>
    </w:rPr>
  </w:style>
  <w:style w:type="character" w:customStyle="1" w:styleId="StructureCar">
    <w:name w:val="Structure Car"/>
    <w:basedOn w:val="Policepardfaut"/>
    <w:link w:val="Structure"/>
    <w:rsid w:val="00C62DB7"/>
    <w:rPr>
      <w:sz w:val="18"/>
      <w:szCs w:val="24"/>
    </w:rPr>
  </w:style>
  <w:style w:type="character" w:customStyle="1" w:styleId="TitreArticleCar">
    <w:name w:val="Titre Article Car"/>
    <w:basedOn w:val="Policepardfaut"/>
    <w:link w:val="TitreArticle"/>
    <w:rsid w:val="00082672"/>
    <w:rPr>
      <w:color w:val="000000"/>
      <w:szCs w:val="24"/>
    </w:rPr>
  </w:style>
  <w:style w:type="character" w:customStyle="1" w:styleId="DescrArticleCar">
    <w:name w:val="Descr Article Car"/>
    <w:basedOn w:val="Policepardfaut"/>
    <w:link w:val="DescrArticle"/>
    <w:rsid w:val="00082672"/>
    <w:rPr>
      <w:color w:val="000000"/>
      <w:szCs w:val="24"/>
    </w:rPr>
  </w:style>
  <w:style w:type="character" w:customStyle="1" w:styleId="LocLitteraireCar">
    <w:name w:val="Loc Litteraire Car"/>
    <w:basedOn w:val="Policepardfaut"/>
    <w:link w:val="LocLitteraire"/>
    <w:rsid w:val="00F82673"/>
    <w:rPr>
      <w:i/>
      <w:color w:val="000000"/>
      <w:sz w:val="16"/>
      <w:szCs w:val="24"/>
    </w:rPr>
  </w:style>
  <w:style w:type="paragraph" w:styleId="Textedebulles">
    <w:name w:val="Balloon Text"/>
    <w:basedOn w:val="Normal"/>
    <w:link w:val="TextedebullesCar"/>
    <w:uiPriority w:val="99"/>
    <w:rsid w:val="00BC4C82"/>
    <w:rPr>
      <w:rFonts w:ascii="Tahoma" w:hAnsi="Tahoma" w:cs="Tahoma"/>
      <w:sz w:val="16"/>
      <w:szCs w:val="16"/>
    </w:rPr>
  </w:style>
  <w:style w:type="character" w:customStyle="1" w:styleId="TextedebullesCar">
    <w:name w:val="Texte de bulles Car"/>
    <w:basedOn w:val="Policepardfaut"/>
    <w:link w:val="Textedebulles"/>
    <w:uiPriority w:val="99"/>
    <w:rsid w:val="00BC4C82"/>
    <w:rPr>
      <w:rFonts w:ascii="Tahoma" w:hAnsi="Tahoma" w:cs="Tahoma"/>
      <w:sz w:val="16"/>
      <w:szCs w:val="16"/>
    </w:rPr>
  </w:style>
  <w:style w:type="paragraph" w:customStyle="1" w:styleId="StructureNote">
    <w:name w:val="Structure Note"/>
    <w:link w:val="StructureNoteCar"/>
    <w:autoRedefine/>
    <w:rsid w:val="00291560"/>
    <w:pPr>
      <w:ind w:left="1417"/>
      <w:contextualSpacing/>
      <w:jc w:val="both"/>
    </w:pPr>
    <w:rPr>
      <w:rFonts w:ascii="Arial" w:eastAsia="Calibri" w:hAnsi="Arial" w:cs="Arial"/>
      <w:color w:val="000000"/>
      <w:szCs w:val="22"/>
      <w:lang w:eastAsia="en-US"/>
    </w:rPr>
  </w:style>
  <w:style w:type="character" w:customStyle="1" w:styleId="StructureNoteCar">
    <w:name w:val="Structure Note Car"/>
    <w:basedOn w:val="Policepardfaut"/>
    <w:link w:val="StructureNote"/>
    <w:rsid w:val="00291560"/>
    <w:rPr>
      <w:rFonts w:ascii="Arial" w:eastAsia="Calibri" w:hAnsi="Arial" w:cs="Arial"/>
      <w:color w:val="000000"/>
      <w:szCs w:val="22"/>
      <w:lang w:eastAsia="en-US"/>
    </w:rPr>
  </w:style>
  <w:style w:type="paragraph" w:customStyle="1" w:styleId="Articlenote1">
    <w:name w:val="Article note1"/>
    <w:link w:val="Articlenote1Car"/>
    <w:autoRedefine/>
    <w:rsid w:val="00291560"/>
    <w:pPr>
      <w:ind w:left="1417"/>
      <w:contextualSpacing/>
    </w:pPr>
    <w:rPr>
      <w:rFonts w:ascii="Arial" w:eastAsia="Calibri" w:hAnsi="Arial" w:cs="Arial"/>
      <w:color w:val="000000"/>
      <w:szCs w:val="22"/>
      <w:lang w:eastAsia="en-US"/>
    </w:rPr>
  </w:style>
  <w:style w:type="character" w:customStyle="1" w:styleId="Articlenote1Car">
    <w:name w:val="Article note1 Car"/>
    <w:basedOn w:val="Policepardfaut"/>
    <w:link w:val="Articlenote1"/>
    <w:rsid w:val="00291560"/>
    <w:rPr>
      <w:rFonts w:ascii="Arial" w:eastAsia="Calibri" w:hAnsi="Arial" w:cs="Arial"/>
      <w:color w:val="000000"/>
      <w:szCs w:val="22"/>
      <w:lang w:eastAsia="en-US"/>
    </w:rPr>
  </w:style>
  <w:style w:type="paragraph" w:customStyle="1" w:styleId="Articlenote2">
    <w:name w:val="Article note2"/>
    <w:link w:val="Articlenote2Car"/>
    <w:autoRedefine/>
    <w:rsid w:val="00291560"/>
    <w:pPr>
      <w:ind w:left="1417"/>
      <w:contextualSpacing/>
    </w:pPr>
    <w:rPr>
      <w:rFonts w:ascii="Arial" w:eastAsia="Calibri" w:hAnsi="Arial" w:cs="Arial"/>
      <w:color w:val="000000"/>
      <w:szCs w:val="22"/>
      <w:lang w:eastAsia="en-US"/>
    </w:rPr>
  </w:style>
  <w:style w:type="character" w:customStyle="1" w:styleId="Articlenote2Car">
    <w:name w:val="Article note2 Car"/>
    <w:basedOn w:val="Policepardfaut"/>
    <w:link w:val="Articlenote2"/>
    <w:rsid w:val="00291560"/>
    <w:rPr>
      <w:rFonts w:ascii="Arial" w:eastAsia="Calibri" w:hAnsi="Arial" w:cs="Arial"/>
      <w:color w:val="000000"/>
      <w:szCs w:val="22"/>
      <w:lang w:eastAsia="en-US"/>
    </w:rPr>
  </w:style>
  <w:style w:type="paragraph" w:customStyle="1" w:styleId="Articlenote3">
    <w:name w:val="Article note3"/>
    <w:link w:val="Articlenote3Car"/>
    <w:autoRedefine/>
    <w:rsid w:val="00291560"/>
    <w:pPr>
      <w:ind w:left="1417"/>
      <w:contextualSpacing/>
    </w:pPr>
    <w:rPr>
      <w:rFonts w:ascii="Arial" w:eastAsia="Calibri" w:hAnsi="Arial" w:cs="Arial"/>
      <w:color w:val="000000"/>
      <w:szCs w:val="22"/>
      <w:lang w:eastAsia="en-US"/>
    </w:rPr>
  </w:style>
  <w:style w:type="character" w:customStyle="1" w:styleId="Articlenote3Car">
    <w:name w:val="Article note3 Car"/>
    <w:basedOn w:val="Policepardfaut"/>
    <w:link w:val="Articlenote3"/>
    <w:rsid w:val="00291560"/>
    <w:rPr>
      <w:rFonts w:ascii="Arial" w:eastAsia="Calibri" w:hAnsi="Arial" w:cs="Arial"/>
      <w:color w:val="000000"/>
      <w:szCs w:val="22"/>
      <w:lang w:eastAsia="en-US"/>
    </w:rPr>
  </w:style>
  <w:style w:type="paragraph" w:customStyle="1" w:styleId="Articlenote4">
    <w:name w:val="Article note4"/>
    <w:link w:val="Articlenote4Car"/>
    <w:autoRedefine/>
    <w:rsid w:val="00291560"/>
    <w:pPr>
      <w:ind w:left="1417"/>
      <w:contextualSpacing/>
    </w:pPr>
    <w:rPr>
      <w:rFonts w:ascii="Arial" w:eastAsia="Calibri" w:hAnsi="Arial" w:cs="Arial"/>
      <w:color w:val="000000"/>
      <w:szCs w:val="22"/>
      <w:lang w:eastAsia="en-US"/>
    </w:rPr>
  </w:style>
  <w:style w:type="character" w:customStyle="1" w:styleId="Articlenote4Car">
    <w:name w:val="Article note4 Car"/>
    <w:basedOn w:val="Policepardfaut"/>
    <w:link w:val="Articlenote4"/>
    <w:rsid w:val="00291560"/>
    <w:rPr>
      <w:rFonts w:ascii="Arial" w:eastAsia="Calibri" w:hAnsi="Arial" w:cs="Arial"/>
      <w:color w:val="000000"/>
      <w:szCs w:val="22"/>
      <w:lang w:eastAsia="en-US"/>
    </w:rPr>
  </w:style>
  <w:style w:type="paragraph" w:customStyle="1" w:styleId="Articlenote5">
    <w:name w:val="Article note5"/>
    <w:link w:val="Articlenote5Car"/>
    <w:autoRedefine/>
    <w:rsid w:val="00291560"/>
    <w:pPr>
      <w:ind w:left="1417"/>
      <w:contextualSpacing/>
    </w:pPr>
    <w:rPr>
      <w:rFonts w:ascii="Arial" w:eastAsia="Calibri" w:hAnsi="Arial" w:cs="Arial"/>
      <w:color w:val="000000"/>
      <w:szCs w:val="22"/>
      <w:lang w:eastAsia="en-US"/>
    </w:rPr>
  </w:style>
  <w:style w:type="character" w:customStyle="1" w:styleId="Articlenote5Car">
    <w:name w:val="Article note5 Car"/>
    <w:basedOn w:val="Policepardfaut"/>
    <w:link w:val="Articlenote5"/>
    <w:rsid w:val="00291560"/>
    <w:rPr>
      <w:rFonts w:ascii="Arial" w:eastAsia="Calibri" w:hAnsi="Arial" w:cs="Arial"/>
      <w:color w:val="000000"/>
      <w:szCs w:val="22"/>
      <w:lang w:eastAsia="en-US"/>
    </w:rPr>
  </w:style>
  <w:style w:type="paragraph" w:customStyle="1" w:styleId="LocStructuree">
    <w:name w:val="Loc Structuree"/>
    <w:link w:val="LocStructureeCar"/>
    <w:autoRedefine/>
    <w:rsid w:val="00291560"/>
    <w:pPr>
      <w:tabs>
        <w:tab w:val="left" w:leader="dot" w:pos="4309"/>
        <w:tab w:val="left" w:leader="dot" w:pos="7200"/>
      </w:tabs>
      <w:ind w:left="1417"/>
      <w:contextualSpacing/>
    </w:pPr>
    <w:rPr>
      <w:rFonts w:eastAsia="Calibri"/>
      <w:i/>
      <w:color w:val="000000"/>
      <w:sz w:val="16"/>
      <w:szCs w:val="22"/>
      <w:lang w:eastAsia="en-US"/>
    </w:rPr>
  </w:style>
  <w:style w:type="character" w:customStyle="1" w:styleId="LocStructureeCar">
    <w:name w:val="Loc Structuree Car"/>
    <w:basedOn w:val="Policepardfaut"/>
    <w:link w:val="LocStructuree"/>
    <w:rsid w:val="00291560"/>
    <w:rPr>
      <w:rFonts w:eastAsia="Calibri"/>
      <w:i/>
      <w:color w:val="000000"/>
      <w:sz w:val="16"/>
      <w:szCs w:val="22"/>
      <w:lang w:eastAsia="en-US"/>
    </w:rPr>
  </w:style>
  <w:style w:type="paragraph" w:customStyle="1" w:styleId="CE">
    <w:name w:val="CE"/>
    <w:link w:val="CECar"/>
    <w:autoRedefine/>
    <w:rsid w:val="00291560"/>
    <w:pPr>
      <w:spacing w:before="454" w:after="454"/>
      <w:contextualSpacing/>
      <w:jc w:val="center"/>
      <w:outlineLvl w:val="1"/>
    </w:pPr>
    <w:rPr>
      <w:rFonts w:eastAsia="Calibri"/>
      <w:i/>
      <w:color w:val="000000"/>
      <w:sz w:val="40"/>
      <w:szCs w:val="22"/>
      <w:u w:val="single"/>
      <w:lang w:eastAsia="en-US"/>
    </w:rPr>
  </w:style>
  <w:style w:type="character" w:customStyle="1" w:styleId="CECar">
    <w:name w:val="CE Car"/>
    <w:basedOn w:val="Policepardfaut"/>
    <w:link w:val="CE"/>
    <w:rsid w:val="00291560"/>
    <w:rPr>
      <w:rFonts w:eastAsia="Calibri"/>
      <w:i/>
      <w:color w:val="000000"/>
      <w:sz w:val="40"/>
      <w:szCs w:val="22"/>
      <w:u w:val="single"/>
      <w:lang w:eastAsia="en-US"/>
    </w:rPr>
  </w:style>
  <w:style w:type="character" w:customStyle="1" w:styleId="LotCar">
    <w:name w:val="Lot Car"/>
    <w:basedOn w:val="Policepardfaut"/>
    <w:link w:val="Lot"/>
    <w:rsid w:val="00291560"/>
    <w:rPr>
      <w:rFonts w:ascii="Arial" w:hAnsi="Arial" w:cs="Arial"/>
      <w:b/>
      <w:i/>
      <w:color w:val="000000"/>
      <w:sz w:val="28"/>
      <w:szCs w:val="16"/>
    </w:rPr>
  </w:style>
  <w:style w:type="character" w:customStyle="1" w:styleId="TitreEnteteCar">
    <w:name w:val="Titre Entete Car"/>
    <w:basedOn w:val="Policepardfaut"/>
    <w:link w:val="TitreEntete"/>
    <w:rsid w:val="00291560"/>
    <w:rPr>
      <w:rFonts w:ascii="Arial" w:hAnsi="Arial" w:cs="Arial"/>
      <w:color w:val="000000"/>
      <w:sz w:val="24"/>
      <w:szCs w:val="16"/>
    </w:rPr>
  </w:style>
  <w:style w:type="character" w:customStyle="1" w:styleId="InfoEnteteCar">
    <w:name w:val="Info Entete Car"/>
    <w:basedOn w:val="Policepardfaut"/>
    <w:link w:val="InfoEntete"/>
    <w:rsid w:val="00291560"/>
    <w:rPr>
      <w:rFonts w:ascii="Arial" w:hAnsi="Arial" w:cs="Arial"/>
      <w:color w:val="000000"/>
      <w:szCs w:val="16"/>
    </w:rPr>
  </w:style>
  <w:style w:type="paragraph" w:customStyle="1" w:styleId="InterEntete">
    <w:name w:val="Inter Entete"/>
    <w:link w:val="InterEnteteCar"/>
    <w:autoRedefine/>
    <w:rsid w:val="00291560"/>
    <w:pPr>
      <w:tabs>
        <w:tab w:val="left" w:pos="1134"/>
        <w:tab w:val="left" w:pos="5102"/>
        <w:tab w:val="left" w:pos="7937"/>
      </w:tabs>
    </w:pPr>
    <w:rPr>
      <w:rFonts w:ascii="Arial" w:eastAsia="Calibri" w:hAnsi="Arial" w:cs="Arial"/>
      <w:color w:val="000000"/>
      <w:sz w:val="16"/>
      <w:szCs w:val="22"/>
      <w:lang w:eastAsia="en-US"/>
    </w:rPr>
  </w:style>
  <w:style w:type="character" w:customStyle="1" w:styleId="InterEnteteCar">
    <w:name w:val="Inter Entete Car"/>
    <w:basedOn w:val="Policepardfaut"/>
    <w:link w:val="InterEntete"/>
    <w:rsid w:val="00291560"/>
    <w:rPr>
      <w:rFonts w:ascii="Arial" w:eastAsia="Calibri" w:hAnsi="Arial" w:cs="Arial"/>
      <w:color w:val="000000"/>
      <w:sz w:val="16"/>
      <w:szCs w:val="22"/>
      <w:lang w:eastAsia="en-US"/>
    </w:rPr>
  </w:style>
  <w:style w:type="character" w:customStyle="1" w:styleId="BasPageCar">
    <w:name w:val="Bas Page Car"/>
    <w:basedOn w:val="Policepardfaut"/>
    <w:link w:val="BasPage"/>
    <w:rsid w:val="00291560"/>
    <w:rPr>
      <w:rFonts w:ascii="Arial" w:hAnsi="Arial" w:cs="Arial"/>
      <w:color w:val="000000"/>
      <w:szCs w:val="16"/>
    </w:rPr>
  </w:style>
  <w:style w:type="paragraph" w:customStyle="1" w:styleId="Commentaires">
    <w:name w:val="Commentaires"/>
    <w:link w:val="CommentairesCar"/>
    <w:autoRedefine/>
    <w:rsid w:val="00291560"/>
    <w:rPr>
      <w:rFonts w:ascii="Arial" w:eastAsia="Calibri" w:hAnsi="Arial" w:cs="Arial"/>
      <w:color w:val="000000"/>
      <w:szCs w:val="22"/>
      <w:lang w:eastAsia="en-US"/>
    </w:rPr>
  </w:style>
  <w:style w:type="character" w:customStyle="1" w:styleId="CommentairesCar">
    <w:name w:val="Commentaires Car"/>
    <w:basedOn w:val="Policepardfaut"/>
    <w:link w:val="Commentaires"/>
    <w:rsid w:val="00291560"/>
    <w:rPr>
      <w:rFonts w:ascii="Arial" w:eastAsia="Calibri" w:hAnsi="Arial" w:cs="Arial"/>
      <w:color w:val="000000"/>
      <w:szCs w:val="22"/>
      <w:lang w:eastAsia="en-US"/>
    </w:rPr>
  </w:style>
  <w:style w:type="character" w:customStyle="1" w:styleId="En-tteCar">
    <w:name w:val="En-tête Car"/>
    <w:basedOn w:val="Policepardfaut"/>
    <w:link w:val="En-tte"/>
    <w:uiPriority w:val="99"/>
    <w:rsid w:val="00291560"/>
    <w:rPr>
      <w:sz w:val="24"/>
      <w:szCs w:val="24"/>
    </w:rPr>
  </w:style>
  <w:style w:type="character" w:customStyle="1" w:styleId="PieddepageCar">
    <w:name w:val="Pied de page Car"/>
    <w:basedOn w:val="Policepardfaut"/>
    <w:link w:val="Pieddepage"/>
    <w:uiPriority w:val="99"/>
    <w:rsid w:val="00291560"/>
    <w:rPr>
      <w:sz w:val="24"/>
      <w:szCs w:val="24"/>
    </w:rPr>
  </w:style>
  <w:style w:type="paragraph" w:customStyle="1" w:styleId="msonormal0">
    <w:name w:val="msonormal"/>
    <w:basedOn w:val="Normal"/>
    <w:rsid w:val="00883514"/>
    <w:pPr>
      <w:spacing w:before="100" w:beforeAutospacing="1" w:after="100" w:afterAutospacing="1"/>
    </w:pPr>
    <w:rPr>
      <w:sz w:val="24"/>
      <w:szCs w:val="24"/>
    </w:rPr>
  </w:style>
  <w:style w:type="character" w:customStyle="1" w:styleId="Titre4Car">
    <w:name w:val="Titre 4 Car"/>
    <w:basedOn w:val="Policepardfaut"/>
    <w:link w:val="Titre4"/>
    <w:rsid w:val="00DE1647"/>
    <w:rPr>
      <w:b/>
      <w:i/>
      <w:sz w:val="26"/>
      <w:szCs w:val="24"/>
    </w:rPr>
  </w:style>
  <w:style w:type="character" w:styleId="Lienhypertextesuivivisit">
    <w:name w:val="FollowedHyperlink"/>
    <w:basedOn w:val="Policepardfaut"/>
    <w:uiPriority w:val="99"/>
    <w:semiHidden/>
    <w:unhideWhenUsed/>
    <w:rsid w:val="00DE1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23452">
      <w:bodyDiv w:val="1"/>
      <w:marLeft w:val="0"/>
      <w:marRight w:val="0"/>
      <w:marTop w:val="0"/>
      <w:marBottom w:val="0"/>
      <w:divBdr>
        <w:top w:val="none" w:sz="0" w:space="0" w:color="auto"/>
        <w:left w:val="none" w:sz="0" w:space="0" w:color="auto"/>
        <w:bottom w:val="none" w:sz="0" w:space="0" w:color="auto"/>
        <w:right w:val="none" w:sz="0" w:space="0" w:color="auto"/>
      </w:divBdr>
    </w:div>
    <w:div w:id="548498426">
      <w:bodyDiv w:val="1"/>
      <w:marLeft w:val="0"/>
      <w:marRight w:val="0"/>
      <w:marTop w:val="0"/>
      <w:marBottom w:val="0"/>
      <w:divBdr>
        <w:top w:val="none" w:sz="0" w:space="0" w:color="auto"/>
        <w:left w:val="none" w:sz="0" w:space="0" w:color="auto"/>
        <w:bottom w:val="none" w:sz="0" w:space="0" w:color="auto"/>
        <w:right w:val="none" w:sz="0" w:space="0" w:color="auto"/>
      </w:divBdr>
    </w:div>
    <w:div w:id="603029441">
      <w:bodyDiv w:val="1"/>
      <w:marLeft w:val="0"/>
      <w:marRight w:val="0"/>
      <w:marTop w:val="0"/>
      <w:marBottom w:val="0"/>
      <w:divBdr>
        <w:top w:val="none" w:sz="0" w:space="0" w:color="auto"/>
        <w:left w:val="none" w:sz="0" w:space="0" w:color="auto"/>
        <w:bottom w:val="none" w:sz="0" w:space="0" w:color="auto"/>
        <w:right w:val="none" w:sz="0" w:space="0" w:color="auto"/>
      </w:divBdr>
    </w:div>
    <w:div w:id="824857443">
      <w:bodyDiv w:val="1"/>
      <w:marLeft w:val="0"/>
      <w:marRight w:val="0"/>
      <w:marTop w:val="0"/>
      <w:marBottom w:val="0"/>
      <w:divBdr>
        <w:top w:val="none" w:sz="0" w:space="0" w:color="auto"/>
        <w:left w:val="none" w:sz="0" w:space="0" w:color="auto"/>
        <w:bottom w:val="none" w:sz="0" w:space="0" w:color="auto"/>
        <w:right w:val="none" w:sz="0" w:space="0" w:color="auto"/>
      </w:divBdr>
    </w:div>
    <w:div w:id="1087382062">
      <w:bodyDiv w:val="1"/>
      <w:marLeft w:val="0"/>
      <w:marRight w:val="0"/>
      <w:marTop w:val="0"/>
      <w:marBottom w:val="0"/>
      <w:divBdr>
        <w:top w:val="none" w:sz="0" w:space="0" w:color="auto"/>
        <w:left w:val="none" w:sz="0" w:space="0" w:color="auto"/>
        <w:bottom w:val="none" w:sz="0" w:space="0" w:color="auto"/>
        <w:right w:val="none" w:sz="0" w:space="0" w:color="auto"/>
      </w:divBdr>
    </w:div>
    <w:div w:id="1173450002">
      <w:bodyDiv w:val="1"/>
      <w:marLeft w:val="0"/>
      <w:marRight w:val="0"/>
      <w:marTop w:val="0"/>
      <w:marBottom w:val="0"/>
      <w:divBdr>
        <w:top w:val="none" w:sz="0" w:space="0" w:color="auto"/>
        <w:left w:val="none" w:sz="0" w:space="0" w:color="auto"/>
        <w:bottom w:val="none" w:sz="0" w:space="0" w:color="auto"/>
        <w:right w:val="none" w:sz="0" w:space="0" w:color="auto"/>
      </w:divBdr>
    </w:div>
    <w:div w:id="1533884498">
      <w:bodyDiv w:val="1"/>
      <w:marLeft w:val="0"/>
      <w:marRight w:val="0"/>
      <w:marTop w:val="0"/>
      <w:marBottom w:val="0"/>
      <w:divBdr>
        <w:top w:val="none" w:sz="0" w:space="0" w:color="auto"/>
        <w:left w:val="none" w:sz="0" w:space="0" w:color="auto"/>
        <w:bottom w:val="none" w:sz="0" w:space="0" w:color="auto"/>
        <w:right w:val="none" w:sz="0" w:space="0" w:color="auto"/>
      </w:divBdr>
    </w:div>
    <w:div w:id="1562016180">
      <w:bodyDiv w:val="1"/>
      <w:marLeft w:val="0"/>
      <w:marRight w:val="0"/>
      <w:marTop w:val="0"/>
      <w:marBottom w:val="0"/>
      <w:divBdr>
        <w:top w:val="none" w:sz="0" w:space="0" w:color="auto"/>
        <w:left w:val="none" w:sz="0" w:space="0" w:color="auto"/>
        <w:bottom w:val="none" w:sz="0" w:space="0" w:color="auto"/>
        <w:right w:val="none" w:sz="0" w:space="0" w:color="auto"/>
      </w:divBdr>
    </w:div>
    <w:div w:id="1828664064">
      <w:bodyDiv w:val="1"/>
      <w:marLeft w:val="0"/>
      <w:marRight w:val="0"/>
      <w:marTop w:val="0"/>
      <w:marBottom w:val="0"/>
      <w:divBdr>
        <w:top w:val="none" w:sz="0" w:space="0" w:color="auto"/>
        <w:left w:val="none" w:sz="0" w:space="0" w:color="auto"/>
        <w:bottom w:val="none" w:sz="0" w:space="0" w:color="auto"/>
        <w:right w:val="none" w:sz="0" w:space="0" w:color="auto"/>
      </w:divBdr>
    </w:div>
    <w:div w:id="2011519465">
      <w:bodyDiv w:val="1"/>
      <w:marLeft w:val="0"/>
      <w:marRight w:val="0"/>
      <w:marTop w:val="0"/>
      <w:marBottom w:val="0"/>
      <w:divBdr>
        <w:top w:val="none" w:sz="0" w:space="0" w:color="auto"/>
        <w:left w:val="none" w:sz="0" w:space="0" w:color="auto"/>
        <w:bottom w:val="none" w:sz="0" w:space="0" w:color="auto"/>
        <w:right w:val="none" w:sz="0" w:space="0" w:color="auto"/>
      </w:divBdr>
    </w:div>
    <w:div w:id="2023968987">
      <w:bodyDiv w:val="1"/>
      <w:marLeft w:val="0"/>
      <w:marRight w:val="0"/>
      <w:marTop w:val="0"/>
      <w:marBottom w:val="0"/>
      <w:divBdr>
        <w:top w:val="none" w:sz="0" w:space="0" w:color="auto"/>
        <w:left w:val="none" w:sz="0" w:space="0" w:color="auto"/>
        <w:bottom w:val="none" w:sz="0" w:space="0" w:color="auto"/>
        <w:right w:val="none" w:sz="0" w:space="0" w:color="auto"/>
      </w:divBdr>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
    <w:div w:id="2107190311">
      <w:bodyDiv w:val="1"/>
      <w:marLeft w:val="0"/>
      <w:marRight w:val="0"/>
      <w:marTop w:val="0"/>
      <w:marBottom w:val="0"/>
      <w:divBdr>
        <w:top w:val="none" w:sz="0" w:space="0" w:color="auto"/>
        <w:left w:val="none" w:sz="0" w:space="0" w:color="auto"/>
        <w:bottom w:val="none" w:sz="0" w:space="0" w:color="auto"/>
        <w:right w:val="none" w:sz="0" w:space="0" w:color="auto"/>
      </w:divBdr>
    </w:div>
    <w:div w:id="212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nau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D0BD-2CFA-43F8-8550-58C47105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624</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vt:lpstr>
    </vt:vector>
  </TitlesOfParts>
  <Company>Hewlett-Packard</Company>
  <LinksUpToDate>false</LinksUpToDate>
  <CharactersWithSpaces>3671</CharactersWithSpaces>
  <SharedDoc>false</SharedDoc>
  <HLinks>
    <vt:vector size="72" baseType="variant">
      <vt:variant>
        <vt:i4>1179709</vt:i4>
      </vt:variant>
      <vt:variant>
        <vt:i4>68</vt:i4>
      </vt:variant>
      <vt:variant>
        <vt:i4>0</vt:i4>
      </vt:variant>
      <vt:variant>
        <vt:i4>5</vt:i4>
      </vt:variant>
      <vt:variant>
        <vt:lpwstr/>
      </vt:variant>
      <vt:variant>
        <vt:lpwstr>_Toc247386048</vt:lpwstr>
      </vt:variant>
      <vt:variant>
        <vt:i4>1179709</vt:i4>
      </vt:variant>
      <vt:variant>
        <vt:i4>62</vt:i4>
      </vt:variant>
      <vt:variant>
        <vt:i4>0</vt:i4>
      </vt:variant>
      <vt:variant>
        <vt:i4>5</vt:i4>
      </vt:variant>
      <vt:variant>
        <vt:lpwstr/>
      </vt:variant>
      <vt:variant>
        <vt:lpwstr>_Toc247386047</vt:lpwstr>
      </vt:variant>
      <vt:variant>
        <vt:i4>1179709</vt:i4>
      </vt:variant>
      <vt:variant>
        <vt:i4>56</vt:i4>
      </vt:variant>
      <vt:variant>
        <vt:i4>0</vt:i4>
      </vt:variant>
      <vt:variant>
        <vt:i4>5</vt:i4>
      </vt:variant>
      <vt:variant>
        <vt:lpwstr/>
      </vt:variant>
      <vt:variant>
        <vt:lpwstr>_Toc247386046</vt:lpwstr>
      </vt:variant>
      <vt:variant>
        <vt:i4>1179709</vt:i4>
      </vt:variant>
      <vt:variant>
        <vt:i4>50</vt:i4>
      </vt:variant>
      <vt:variant>
        <vt:i4>0</vt:i4>
      </vt:variant>
      <vt:variant>
        <vt:i4>5</vt:i4>
      </vt:variant>
      <vt:variant>
        <vt:lpwstr/>
      </vt:variant>
      <vt:variant>
        <vt:lpwstr>_Toc247386045</vt:lpwstr>
      </vt:variant>
      <vt:variant>
        <vt:i4>1179709</vt:i4>
      </vt:variant>
      <vt:variant>
        <vt:i4>44</vt:i4>
      </vt:variant>
      <vt:variant>
        <vt:i4>0</vt:i4>
      </vt:variant>
      <vt:variant>
        <vt:i4>5</vt:i4>
      </vt:variant>
      <vt:variant>
        <vt:lpwstr/>
      </vt:variant>
      <vt:variant>
        <vt:lpwstr>_Toc247386044</vt:lpwstr>
      </vt:variant>
      <vt:variant>
        <vt:i4>1179709</vt:i4>
      </vt:variant>
      <vt:variant>
        <vt:i4>38</vt:i4>
      </vt:variant>
      <vt:variant>
        <vt:i4>0</vt:i4>
      </vt:variant>
      <vt:variant>
        <vt:i4>5</vt:i4>
      </vt:variant>
      <vt:variant>
        <vt:lpwstr/>
      </vt:variant>
      <vt:variant>
        <vt:lpwstr>_Toc247386043</vt:lpwstr>
      </vt:variant>
      <vt:variant>
        <vt:i4>1179709</vt:i4>
      </vt:variant>
      <vt:variant>
        <vt:i4>32</vt:i4>
      </vt:variant>
      <vt:variant>
        <vt:i4>0</vt:i4>
      </vt:variant>
      <vt:variant>
        <vt:i4>5</vt:i4>
      </vt:variant>
      <vt:variant>
        <vt:lpwstr/>
      </vt:variant>
      <vt:variant>
        <vt:lpwstr>_Toc247386042</vt:lpwstr>
      </vt:variant>
      <vt:variant>
        <vt:i4>1179709</vt:i4>
      </vt:variant>
      <vt:variant>
        <vt:i4>26</vt:i4>
      </vt:variant>
      <vt:variant>
        <vt:i4>0</vt:i4>
      </vt:variant>
      <vt:variant>
        <vt:i4>5</vt:i4>
      </vt:variant>
      <vt:variant>
        <vt:lpwstr/>
      </vt:variant>
      <vt:variant>
        <vt:lpwstr>_Toc247386041</vt:lpwstr>
      </vt:variant>
      <vt:variant>
        <vt:i4>1179709</vt:i4>
      </vt:variant>
      <vt:variant>
        <vt:i4>20</vt:i4>
      </vt:variant>
      <vt:variant>
        <vt:i4>0</vt:i4>
      </vt:variant>
      <vt:variant>
        <vt:i4>5</vt:i4>
      </vt:variant>
      <vt:variant>
        <vt:lpwstr/>
      </vt:variant>
      <vt:variant>
        <vt:lpwstr>_Toc247386040</vt:lpwstr>
      </vt:variant>
      <vt:variant>
        <vt:i4>1376317</vt:i4>
      </vt:variant>
      <vt:variant>
        <vt:i4>14</vt:i4>
      </vt:variant>
      <vt:variant>
        <vt:i4>0</vt:i4>
      </vt:variant>
      <vt:variant>
        <vt:i4>5</vt:i4>
      </vt:variant>
      <vt:variant>
        <vt:lpwstr/>
      </vt:variant>
      <vt:variant>
        <vt:lpwstr>_Toc247386039</vt:lpwstr>
      </vt:variant>
      <vt:variant>
        <vt:i4>1376317</vt:i4>
      </vt:variant>
      <vt:variant>
        <vt:i4>8</vt:i4>
      </vt:variant>
      <vt:variant>
        <vt:i4>0</vt:i4>
      </vt:variant>
      <vt:variant>
        <vt:i4>5</vt:i4>
      </vt:variant>
      <vt:variant>
        <vt:lpwstr/>
      </vt:variant>
      <vt:variant>
        <vt:lpwstr>_Toc247386038</vt:lpwstr>
      </vt:variant>
      <vt:variant>
        <vt:i4>1376317</vt:i4>
      </vt:variant>
      <vt:variant>
        <vt:i4>2</vt:i4>
      </vt:variant>
      <vt:variant>
        <vt:i4>0</vt:i4>
      </vt:variant>
      <vt:variant>
        <vt:i4>5</vt:i4>
      </vt:variant>
      <vt:variant>
        <vt:lpwstr/>
      </vt:variant>
      <vt:variant>
        <vt:lpwstr>_Toc247386037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JBL</dc:creator>
  <cp:lastModifiedBy>Mergenthaler, Nicolas</cp:lastModifiedBy>
  <cp:revision>33</cp:revision>
  <cp:lastPrinted>2014-04-02T08:04:00Z</cp:lastPrinted>
  <dcterms:created xsi:type="dcterms:W3CDTF">2019-02-26T09:21:00Z</dcterms:created>
  <dcterms:modified xsi:type="dcterms:W3CDTF">2022-01-27T09:35:00Z</dcterms:modified>
</cp:coreProperties>
</file>